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_GB2312" w:hAnsi="仿宋_GB2312" w:eastAsia="仿宋_GB2312" w:cs="仿宋_GB2312"/>
          <w:b/>
          <w:bCs/>
          <w:i w:val="0"/>
          <w:caps w:val="0"/>
          <w:color w:val="0D0D0D" w:themeColor="text1" w:themeTint="F2"/>
          <w:spacing w:val="0"/>
          <w:sz w:val="36"/>
          <w:szCs w:val="36"/>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bCs/>
          <w:i w:val="0"/>
          <w:caps w:val="0"/>
          <w:color w:val="0D0D0D" w:themeColor="text1" w:themeTint="F2"/>
          <w:spacing w:val="0"/>
          <w:sz w:val="36"/>
          <w:szCs w:val="36"/>
          <w:lang w:val="en-US" w:eastAsia="zh-CN"/>
          <w14:textFill>
            <w14:solidFill>
              <w14:schemeClr w14:val="tx1">
                <w14:lumMod w14:val="95000"/>
                <w14:lumOff w14:val="5000"/>
              </w14:schemeClr>
            </w14:solidFill>
          </w14:textFill>
        </w:rPr>
        <w:t>关于加快推进示范性现代职业院校建设</w:t>
      </w:r>
      <w:r>
        <w:rPr>
          <w:rFonts w:hint="default" w:ascii="仿宋_GB2312" w:hAnsi="仿宋_GB2312" w:eastAsia="仿宋_GB2312" w:cs="仿宋_GB2312"/>
          <w:b/>
          <w:bCs/>
          <w:i w:val="0"/>
          <w:caps w:val="0"/>
          <w:color w:val="0D0D0D" w:themeColor="text1" w:themeTint="F2"/>
          <w:spacing w:val="0"/>
          <w:sz w:val="36"/>
          <w:szCs w:val="36"/>
          <w:lang w:val="en-US" w:eastAsia="zh-CN"/>
          <w14:textFill>
            <w14:solidFill>
              <w14:schemeClr w14:val="tx1">
                <w14:lumMod w14:val="95000"/>
                <w14:lumOff w14:val="5000"/>
              </w14:schemeClr>
            </w14:solidFill>
          </w14:textFill>
        </w:rPr>
        <w:t xml:space="preserve">的通知 </w:t>
      </w:r>
    </w:p>
    <w:p>
      <w:pPr>
        <w:spacing w:line="500" w:lineRule="exact"/>
        <w:rPr>
          <w:rFonts w:hint="default" w:ascii="仿宋_GB2312" w:hAnsi="仿宋_GB2312" w:eastAsia="仿宋_GB2312" w:cs="仿宋_GB2312"/>
          <w:b/>
          <w:bCs/>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default" w:ascii="仿宋_GB2312" w:hAnsi="仿宋_GB2312" w:eastAsia="仿宋_GB2312" w:cs="仿宋_GB2312"/>
          <w:b/>
          <w:bCs/>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各系（部）、处（室、中心、馆）：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 xml:space="preserve">    为贯彻落实</w:t>
      </w:r>
      <w:r>
        <w:rPr>
          <w:rFonts w:hint="default"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福建省教育厅</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w:t>
      </w:r>
      <w:r>
        <w:rPr>
          <w:rFonts w:hint="default"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福建省财政厅关于印发</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w:t>
      </w:r>
      <w:r>
        <w:rPr>
          <w:rFonts w:hint="default"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福建省示范性现代职业院校建设工程实施方案</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w:t>
      </w:r>
      <w:r>
        <w:rPr>
          <w:rFonts w:hint="default"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的通知</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（闽教职成〔2015〕49号），加快推进我院</w:t>
      </w:r>
      <w:r>
        <w:rPr>
          <w:rFonts w:hint="default"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示范性现代职业院校建设工程</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，强化内涵发展、特色发展，增强办学综合实力，持续提高人才培养质量，提升服务产业转型升级能力。现将有关事项通知如下：</w:t>
      </w: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pPr>
      <w:r>
        <w:rPr>
          <w:rFonts w:hint="eastAsia" w:ascii="仿宋_GB2312" w:hAnsi="仿宋_GB2312" w:eastAsia="仿宋_GB2312" w:cs="仿宋_GB2312"/>
          <w:b/>
          <w:bCs/>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w:t>
      </w:r>
      <w:r>
        <w:rPr>
          <w:rFonts w:hint="eastAsia" w:ascii="仿宋_GB2312" w:hAnsi="仿宋_GB2312" w:eastAsia="仿宋_GB2312" w:cs="仿宋_GB2312"/>
          <w:b/>
          <w:bCs/>
          <w:i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t>一、充分认识</w:t>
      </w:r>
      <w:r>
        <w:rPr>
          <w:rFonts w:hint="default" w:ascii="仿宋_GB2312" w:hAnsi="仿宋_GB2312" w:eastAsia="仿宋_GB2312" w:cs="仿宋_GB2312"/>
          <w:b/>
          <w:bCs/>
          <w:i w:val="0"/>
          <w:caps w:val="0"/>
          <w:color w:val="0D0D0D" w:themeColor="text1" w:themeTint="F2"/>
          <w:spacing w:val="0"/>
          <w:kern w:val="2"/>
          <w:sz w:val="28"/>
          <w:szCs w:val="28"/>
          <w:shd w:val="clear" w:fill="FFFFFF"/>
          <w:lang w:val="en-US" w:eastAsia="zh-CN" w:bidi="ar-SA"/>
          <w14:textFill>
            <w14:solidFill>
              <w14:schemeClr w14:val="tx1">
                <w14:lumMod w14:val="95000"/>
                <w14:lumOff w14:val="5000"/>
              </w14:schemeClr>
            </w14:solidFill>
          </w14:textFill>
        </w:rPr>
        <w:t>示范性现代职业院校建设</w:t>
      </w:r>
      <w:r>
        <w:rPr>
          <w:rFonts w:hint="eastAsia" w:ascii="仿宋_GB2312" w:hAnsi="仿宋_GB2312" w:eastAsia="仿宋_GB2312" w:cs="仿宋_GB2312"/>
          <w:b/>
          <w:bCs/>
          <w:i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t>的重要意义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 xml:space="preserve">    实施“福建省示范性现代职业院校建设工程”，是加快发展现代职业教育，全面提高学校办学水平和人才培养质量，服务我省产业转型升级的重要举措，我们要深刻认识示范性现代职业院校建设的重大意义，统一思想，厘清思路，着力创新发展、内涵发展、特色发展，服务产业转型升级，打造职业教育品牌；要抓住建设示范性现代职业院校的关键，准确办学定位，突出办学特色，深化办学体制改革，在建立校企协同育人机制上取得突破，完善治理结构，提升学校管理水平；以“二元制”人才培养模式改革试点为契机，拓宽招生渠道，扩大办学规模。</w:t>
      </w: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pPr>
      <w:r>
        <w:rPr>
          <w:rFonts w:hint="eastAsia" w:ascii="仿宋_GB2312" w:hAnsi="仿宋_GB2312" w:eastAsia="仿宋_GB2312" w:cs="仿宋_GB2312"/>
          <w:b/>
          <w:bCs/>
          <w:i w:val="0"/>
          <w:caps w:val="0"/>
          <w:color w:val="333333"/>
          <w:spacing w:val="0"/>
          <w:sz w:val="32"/>
          <w:szCs w:val="32"/>
          <w:shd w:val="clear" w:fill="FFFFFF"/>
          <w:lang w:val="en-US" w:eastAsia="zh-CN"/>
        </w:rPr>
        <w:t>　　</w:t>
      </w:r>
      <w:r>
        <w:rPr>
          <w:rFonts w:hint="eastAsia" w:ascii="仿宋_GB2312" w:hAnsi="仿宋_GB2312" w:eastAsia="仿宋_GB2312" w:cs="仿宋_GB2312"/>
          <w:b/>
          <w:bCs/>
          <w:i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t>二、进一步明确</w:t>
      </w:r>
      <w:r>
        <w:rPr>
          <w:rFonts w:hint="default" w:ascii="仿宋_GB2312" w:hAnsi="仿宋_GB2312" w:eastAsia="仿宋_GB2312" w:cs="仿宋_GB2312"/>
          <w:b/>
          <w:bCs/>
          <w:i w:val="0"/>
          <w:caps w:val="0"/>
          <w:color w:val="0D0D0D" w:themeColor="text1" w:themeTint="F2"/>
          <w:spacing w:val="0"/>
          <w:kern w:val="2"/>
          <w:sz w:val="28"/>
          <w:szCs w:val="28"/>
          <w:shd w:val="clear" w:fill="FFFFFF"/>
          <w:lang w:val="en-US" w:eastAsia="zh-CN" w:bidi="ar-SA"/>
          <w14:textFill>
            <w14:solidFill>
              <w14:schemeClr w14:val="tx1">
                <w14:lumMod w14:val="95000"/>
                <w14:lumOff w14:val="5000"/>
              </w14:schemeClr>
            </w14:solidFill>
          </w14:textFill>
        </w:rPr>
        <w:t>示范性现代职业院校建设</w:t>
      </w:r>
      <w:r>
        <w:rPr>
          <w:rFonts w:hint="eastAsia" w:ascii="仿宋_GB2312" w:hAnsi="仿宋_GB2312" w:eastAsia="仿宋_GB2312" w:cs="仿宋_GB2312"/>
          <w:b/>
          <w:bCs/>
          <w:i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t>的任务和要求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b/>
          <w:bCs/>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w:t>
      </w:r>
      <w:r>
        <w:rPr>
          <w:rStyle w:val="7"/>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１.办学理念。</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适应经济发展新常态和技术技能人才成长成才需要，树立现代职业教育办学理念，坚持以立德树人为根本，以服务发展为宗旨，以促进就业为导向，以提高质量为核心，以改革创新为驱动，科学谋划发展，厘清发展思路、发展方向、发展着力点，明确办学定位，深化内涵建设，凝练办学特色，提升服务经济社会发展和人的全面发展水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Style w:val="7"/>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2.办学机制。</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深化产教融合，建立起校企合作的长效机制。吸收行业企业专家进入学术委员会和专业建设指导机构。积极参与多元投资主体共建职教集团改革试点。实行校企联合招生、联合培养、一体化育人的现代学徒制。与企业共建员工培训中心、技术创新推广中心、民族工艺传承创新中心，助力企业技术进步和产品升级。积极开展对外合作交流，与台湾优质教育机构稳定合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Style w:val="7"/>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3.专业建设。</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围绕区域重点产业需求，根据学校办学定位，编制专业发展规划，建立完善专业设置动态调整机制，科学合理设置专业，优化专业结构，提高专业结构与产业需求匹配度，建立起紧贴产业、结构合理、特色鲜明的专业体系。加强重点专业建设，办好适应区域产业发展需要的特色、品牌、优势专业，重点建设3－4个产业急需的特色专业群，鼓励按照国际专业认证标准建设专业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Style w:val="7"/>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4.教学改革。</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以增强学生创新创业能力为核心，坚持工学结合、知行合一。深化专业课程改革，对接职业标准、行业标准和岗位规范，调整课程结构，更新课程内容，每个专业有至少3门工学结合的核心课程及配套教材、课件等教学资源。开展学历证书与职业资格证书“双证融通”改革，把职业岗位技能和素养融入相关专业教学中。在人才培养模式、课程设置、教学内容、教学资源建设上有独特的可借鉴性经验，在教学方式和教学手段方面有典型的原创性案例。强化实践环节，学生实习岗位与其所学专业面向的岗位群基本一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Style w:val="7"/>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5.师资队伍。</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具有与学历教育与培训规模相适应的师资队伍，形成合理的师生比以及专业教师与专任教师比例，“双师型”教师的比例达80%以上。建立学校从行业企业招聘教师的制度，新补充专业教师中具有半年以上行业企业工作经历的比例逐年提高至50%。建立健全教师到企业实践制度和“访问工程师”进修制度，有稳定的企业培训进修渠道。建立教师与企业工程技术人员、高技能人才的双向聘用机制，加强兼职教师队伍建设。推进专业带头人、骨干教师和优秀教学科研团队建设，示范（重点）专业有1至2名设区市以上专业带头人，建有名师、技能大师工作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Style w:val="7"/>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6.实训条件。</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加强与行业企业技术要求、工艺流程、管理规范、设备水平同步的实训装备建设，达到教育部发布的专业仪器设备装备规范。推进校企共建的示范性实训基地建设，通过校企合作、引企入校等方式，校企共建兼具生产、教学和研发功能的实训基地，依托重点专业（群）共建创新创业教育实践平台、产品开发机构等，切实增强职业院校技术技能积累能力和学生就业创业能力。到2020年，实训基地主干专业覆盖率达到100%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Style w:val="7"/>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7.信息化建设。</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加强数字校园规范化建设，建成运行流畅、功能齐全的标准化校园网络，仿真实训室、网络教室、多媒体应用中心等数字化教学设施设备齐全。建有数字化教学资源平台和管理平台，信息技术在教育教学、科研、管理领域全面应用。以促进信息技术与教学深度融合为着力点，充分运用现代教育技术改造课程结构、整合课程内容、改革教学模式，提高教学效益和质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Style w:val="7"/>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8.学校治理。</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坚持依法办学，按照现代职业学校制度建设要求，以学校章程建设为核心，加强学校治理体系和治理能力现代化建设，完善学校管理规章制度，办学行为更加规范。创新运行机制，改革内部管理体制，逐步建立学校、行业企业、地方共同参与的学校理事会或董事会。以强化内涵建设为重点，进一步更新管理理念，提升管理规范化、科学化、精细化水平。完善质量监控保障机制，加强学校教学诊断与改进工作，行业企业及其他社会组织多方参与学校评价，建立和完善职业院校教育质量年度报告制度。校园文化建设与企业文化深度融合，育人机制健全，育人氛围良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Style w:val="7"/>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9.服务能力。</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坚持以贡献为引领，面向福建省发展战略和区域发展、行业需求办学，为提高城乡劳动者素质、促进就业创业、技术技能积累创新服务，社会认可度高。区域性高职院校主要围绕当地产业培养技术技能人才，本地生源应占学校招生计划的一定比例。到2020年，行业性高职院校行业相关专业招生规模不少于学校年招生计划的80%。实现毕业生就业率和就业质量“双高”。积极开展面向社会的非学历职业技能培训和职工继续教育，保持年均培训人次为全日制学历教育规模2倍以上。结合行业企业实际需要开展应用技术研发、开发新工艺新产品，取得明显的社会效益和经济效益。</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642"/>
        <w:textAlignment w:val="auto"/>
        <w:outlineLvl w:val="9"/>
        <w:rPr>
          <w:rFonts w:hint="eastAsia" w:ascii="仿宋_GB2312" w:hAnsi="仿宋_GB2312" w:eastAsia="仿宋_GB2312" w:cs="仿宋_GB2312"/>
          <w:b/>
          <w:bCs/>
          <w:i w:val="0"/>
          <w:caps w:val="0"/>
          <w:color w:val="0D0D0D" w:themeColor="text1" w:themeTint="F2"/>
          <w:spacing w:val="0"/>
          <w:kern w:val="2"/>
          <w:sz w:val="28"/>
          <w:szCs w:val="28"/>
          <w:shd w:val="clear" w:fill="FFFFFF"/>
          <w:lang w:val="en-US" w:eastAsia="zh-CN" w:bidi="ar-SA"/>
          <w14:textFill>
            <w14:solidFill>
              <w14:schemeClr w14:val="tx1">
                <w14:lumMod w14:val="95000"/>
                <w14:lumOff w14:val="5000"/>
              </w14:schemeClr>
            </w14:solidFill>
          </w14:textFill>
        </w:rPr>
      </w:pPr>
      <w:r>
        <w:rPr>
          <w:rFonts w:hint="eastAsia" w:ascii="仿宋_GB2312" w:hAnsi="仿宋_GB2312" w:eastAsia="仿宋_GB2312" w:cs="仿宋_GB2312"/>
          <w:b/>
          <w:bCs/>
          <w:i w:val="0"/>
          <w:caps w:val="0"/>
          <w:color w:val="0D0D0D" w:themeColor="text1" w:themeTint="F2"/>
          <w:spacing w:val="0"/>
          <w:kern w:val="2"/>
          <w:sz w:val="28"/>
          <w:szCs w:val="28"/>
          <w:shd w:val="clear" w:fill="FFFFFF"/>
          <w:lang w:val="en-US" w:eastAsia="zh-CN" w:bidi="ar-SA"/>
          <w14:textFill>
            <w14:solidFill>
              <w14:schemeClr w14:val="tx1">
                <w14:lumMod w14:val="95000"/>
                <w14:lumOff w14:val="5000"/>
              </w14:schemeClr>
            </w14:solidFill>
          </w14:textFill>
        </w:rPr>
        <w:t>三、加快推进</w:t>
      </w:r>
      <w:r>
        <w:rPr>
          <w:rFonts w:hint="default" w:ascii="仿宋_GB2312" w:hAnsi="仿宋_GB2312" w:eastAsia="仿宋_GB2312" w:cs="仿宋_GB2312"/>
          <w:b/>
          <w:bCs/>
          <w:i w:val="0"/>
          <w:caps w:val="0"/>
          <w:color w:val="0D0D0D" w:themeColor="text1" w:themeTint="F2"/>
          <w:spacing w:val="0"/>
          <w:kern w:val="2"/>
          <w:sz w:val="28"/>
          <w:szCs w:val="28"/>
          <w:shd w:val="clear" w:fill="FFFFFF"/>
          <w:lang w:val="en-US" w:eastAsia="zh-CN" w:bidi="ar-SA"/>
          <w14:textFill>
            <w14:solidFill>
              <w14:schemeClr w14:val="tx1">
                <w14:lumMod w14:val="95000"/>
                <w14:lumOff w14:val="5000"/>
              </w14:schemeClr>
            </w14:solidFill>
          </w14:textFill>
        </w:rPr>
        <w:t>示范性现代职业院校建设</w:t>
      </w:r>
      <w:r>
        <w:rPr>
          <w:rFonts w:hint="eastAsia" w:ascii="仿宋_GB2312" w:hAnsi="仿宋_GB2312" w:eastAsia="仿宋_GB2312" w:cs="仿宋_GB2312"/>
          <w:b/>
          <w:bCs/>
          <w:i w:val="0"/>
          <w:caps w:val="0"/>
          <w:color w:val="0D0D0D" w:themeColor="text1" w:themeTint="F2"/>
          <w:spacing w:val="0"/>
          <w:kern w:val="2"/>
          <w:sz w:val="28"/>
          <w:szCs w:val="28"/>
          <w:shd w:val="clear" w:fill="FFFFFF"/>
          <w:lang w:val="en-US" w:eastAsia="zh-CN" w:bidi="ar-SA"/>
          <w14:textFill>
            <w14:solidFill>
              <w14:schemeClr w14:val="tx1">
                <w14:lumMod w14:val="95000"/>
                <w14:lumOff w14:val="5000"/>
              </w14:schemeClr>
            </w14:solidFill>
          </w14:textFill>
        </w:rPr>
        <w:t>的主要措施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 xml:space="preserve">    </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1. 提升整体办学水平。统筹</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学院</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教育资源，分类指导，明确办学定位，支持</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农类专业群做大做强，非农类专业群做特做亮，稳定和扩大</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在校生规模</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，加快</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校园校舍和教学实训设施设备硬件建设。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2.科学合理设置专业。进一步实行专业建设“一</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系</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一策”目标管理，对接地方和</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农业</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产业发展，调整优化专业结构，加强应用型人才培养，形成与</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农业产业</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相对接的专业体系；重点建设一批现代农业产业急需的专业群，提高专业结构与产业需求契合度</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3</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建立学历教育与职业培训并举制度。贯彻省教育厅推动学历证书与职业资格证书“双证融通”改革试点工作，促进学历证书考试与职业资格证书考试标准对接，逐步实现两考合一。建立有利于劳动者接受继续教育和职业培训的灵活学习制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4</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.开展校企合作办学。推动建立校企共享人才、技术、信息资源，联合开展人才培养培训、产品研发和技术服务的合作机制，围绕</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农业</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产业培养技术技能人才，更好地服务地方经济社会发展。强化行业指导，发挥其参与职业教育办学的指导、服务、评价的作用；建立专业建设指导委员会，加强职业技术技能人才需求预测和研究</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xml:space="preserve">探索职教集团化办学发展方向。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5</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建立校企合作协同育人机制。支持有条件的</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专业群</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开展“引企入校、入企办学”改革试点，推行“校中厂”、“厂中校”建设。建立与用人单位对接的实习实训考核评价制度。开展“现代学徒制”和“企业新型学徒制”改革试点，探索校企联合招生、联合培养、协同育人的长效机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6</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.重视毕业生就业工作。 将毕业生的就业工作作为贯彻落实国务院提出“大众创业、万众创新”，支撑“中国制造2025”和“互联网+”的重要载体。各</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专业</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应培育以市场为导向的创业课程体系，建立健全弹性学制管理制度，鼓励青年学生创业。拓展渠道促进毕业生充分就业</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完善就业管理机制，建立职业教育质量监测评价机制，实行年度质量报告和毕业生就业跟踪调查制度，保证毕业生高质量高水平就业。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7</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.强化“双师型”教师队伍建设。健全“双师型”教师培养机制，落实专业教师到企业实践制度和“访问工程师”进修制度。开展教师继续教育全员培训，制定</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专业</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教师五年培养规划，充分发挥专业“名师工作室”和“技能大师工作室”引领作用，培养一批骨干教师和专业带头人。努力打造一支专业水平高、实践技能强、适应发展要求的职业教育师资队伍。不断完善教师评聘考核办法，强化聘期考核，实行聘后管理，建立教师职务“能上能下”聘用机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8</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.打造产教深度融合实训平台。</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各专业群</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通过校企合作、引企入校等方式，共建生产性实训基地、产学研结合研发中心。鼓励行业龙头企业将最新技术和设备投到校企共建的实训平台，推动产教深度融合，使实训平台与产业发展基本保持同步。加大投入，重点培育</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集</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学生实训教学、技能竞赛集训、师资</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技能</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培训、行业技能培训、技能考评和对外生产、研发于一体等综合性</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生产性</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实训基地</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9</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.提高教育</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教学</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信息化水平。以</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校园网</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建设为抓手，充分利用信息技术手段改革教学模式、创新学习方式、提升管理水平，全面建成涵盖</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党政</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管理、教学教研管理、学籍管理、</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人事</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管理等领域的信息化公共服务</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平台</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推进</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xml:space="preserve">数字化校园建设，建设教学资源库，建立网络教学平台。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10</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.促进</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闽</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台交流合作纵深发展。支持</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专业群</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与台湾高水平职业院校、职业培训相关机构建立紧密型合作关系。实施“</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台湾</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职业院校师资引进计划”，吸引台湾教师来</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校</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任教。引进台湾先进职业教育管理理念，</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开展</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与台湾职业院校联办师资培训、开展学术交流或选派专业骨干教师和管理干部赴台研修等活动。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11</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.加强组织管理与督导评估。加快现代学校制度建设，以学校章程建设为核心，加强职业院校治理体系和治理能力建设。加强职业教育研究，加强</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现代示范校项目建设</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督导评估</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和</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xml:space="preserve">绩效评估。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1</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2</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.完善</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建设经费</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保障机制。加强对</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现代示范校建设</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经费使用管理，建立以促进改革和提高绩效为导向的</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经费管理</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制度。</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加大专业与课程建设</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、实训基地</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建设、</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教学团队建设等项目经费奖补</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力度</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firstLine="560"/>
        <w:textAlignment w:val="auto"/>
        <w:outlineLvl w:val="9"/>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1</w:t>
      </w: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3</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 营造良好舆论环境。 各</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部门</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要加大对</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现代示范校建设工程</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的宣传力度，</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加快推进项目建设，</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引导全</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体师生员工</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弘扬“劳动光荣、技能宝贵、创造伟大”的时代风尚，培育精益求精的“工匠精神”</w:t>
      </w:r>
      <w:r>
        <w:rPr>
          <w:rFonts w:hint="eastAsia" w:ascii="仿宋_GB2312" w:hAnsi="仿宋_GB2312" w:eastAsia="仿宋_GB2312" w:cs="仿宋_GB2312"/>
          <w:color w:val="0D0D0D" w:themeColor="text1" w:themeTint="F2"/>
          <w:sz w:val="28"/>
          <w:szCs w:val="28"/>
          <w:shd w:val="clear" w:fill="FFFFFF"/>
          <w:lang w:eastAsia="zh-CN"/>
          <w14:textFill>
            <w14:solidFill>
              <w14:schemeClr w14:val="tx1">
                <w14:lumMod w14:val="95000"/>
                <w14:lumOff w14:val="5000"/>
              </w14:schemeClr>
            </w14:solidFill>
          </w14:textFill>
        </w:rPr>
        <w:t>，积极投身现代示范校建设大潮中</w:t>
      </w:r>
      <w:r>
        <w:rPr>
          <w:rFonts w:hint="eastAsia" w:ascii="仿宋_GB2312" w:hAnsi="仿宋_GB2312" w:eastAsia="仿宋_GB2312" w:cs="仿宋_GB2312"/>
          <w:color w:val="0D0D0D" w:themeColor="text1" w:themeTint="F2"/>
          <w:sz w:val="28"/>
          <w:szCs w:val="28"/>
          <w:shd w:val="clear" w:fill="FFFFFF"/>
          <w14:textFill>
            <w14:solidFill>
              <w14:schemeClr w14:val="tx1">
                <w14:lumMod w14:val="95000"/>
                <w14:lumOff w14:val="5000"/>
              </w14:schemeClr>
            </w14:solidFill>
          </w14:textFill>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firstLine="560"/>
        <w:textAlignment w:val="auto"/>
        <w:outlineLvl w:val="9"/>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14.加强领导明确责任。调整学院现代示范校建设工程领导小组，由学院党委书记江斌任组长，学院领导、各部门负责人为成员。根据10个建设项目成立项目组，明确责任部门和验收要点。成立由纪检监察、教学督导部门人员组成的督查组，对建设进度、建设质量进行督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firstLine="560"/>
        <w:textAlignment w:val="auto"/>
        <w:outlineLvl w:val="9"/>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shd w:val="clear" w:fill="FFFFFF"/>
          <w:lang w:val="en-US" w:eastAsia="zh-CN"/>
          <w14:textFill>
            <w14:solidFill>
              <w14:schemeClr w14:val="tx1">
                <w14:lumMod w14:val="95000"/>
                <w14:lumOff w14:val="5000"/>
              </w14:schemeClr>
            </w14:solidFill>
          </w14:textFill>
        </w:rPr>
        <w:t>15.加快推进狠抓落实。现代示范校建设工程是我校当前重中之重的工作任务，时间紧，任务重。各部门务必高度重视，认真部署，狠抓落实。领导小组将每月召开专题会议听取各项目组汇报，研究解决建设过程中的实际问题；督查组将适时监控建设情况，对不作为、慢作为、乱作为实施问责。</w:t>
      </w: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bookmarkStart w:id="0" w:name="_GoBack"/>
      <w:bookmarkEnd w:id="0"/>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pP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pP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333333"/>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333333"/>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333333"/>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333333"/>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333333"/>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333333"/>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333333"/>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333333"/>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color w:val="0D0D0D" w:themeColor="text1" w:themeTint="F2"/>
          <w:kern w:val="0"/>
          <w:sz w:val="28"/>
          <w:szCs w:val="28"/>
          <w:shd w:val="clear" w:fill="FFFFFF"/>
          <w:lang w:val="en-US" w:eastAsia="zh-CN" w:bidi="ar"/>
          <w14:textFill>
            <w14:solidFill>
              <w14:schemeClr w14:val="tx1">
                <w14:lumMod w14:val="95000"/>
                <w14:lumOff w14:val="5000"/>
              </w14:schemeClr>
            </w14:solidFill>
          </w14:textFill>
        </w:rPr>
      </w:pPr>
      <w:r>
        <w:rPr>
          <w:rFonts w:hint="eastAsia" w:ascii="仿宋_GB2312" w:hAnsi="仿宋_GB2312" w:eastAsia="仿宋_GB2312" w:cs="仿宋_GB2312"/>
          <w:b/>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bCs/>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xml:space="preserve"> </w:t>
      </w:r>
      <w:r>
        <w:rPr>
          <w:rFonts w:hint="eastAsia" w:ascii="仿宋_GB2312" w:hAnsi="仿宋_GB2312" w:eastAsia="仿宋_GB2312" w:cs="仿宋_GB2312"/>
          <w:color w:val="0D0D0D" w:themeColor="text1" w:themeTint="F2"/>
          <w:kern w:val="0"/>
          <w:sz w:val="28"/>
          <w:szCs w:val="28"/>
          <w:shd w:val="clear" w:fill="FFFFFF"/>
          <w:lang w:val="en-US" w:eastAsia="zh-CN" w:bidi="ar"/>
          <w14:textFill>
            <w14:solidFill>
              <w14:schemeClr w14:val="tx1">
                <w14:lumMod w14:val="95000"/>
                <w14:lumOff w14:val="5000"/>
              </w14:schemeClr>
            </w14:solidFill>
          </w14:textFill>
        </w:rPr>
        <w:t xml:space="preserve"> 2016年9月26日</w:t>
      </w:r>
    </w:p>
    <w:p>
      <w:pPr>
        <w:keepNext w:val="0"/>
        <w:keepLines w:val="0"/>
        <w:pageBreakBefore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_GB2312" w:hAnsi="仿宋_GB2312" w:eastAsia="仿宋_GB2312" w:cs="仿宋_GB2312"/>
          <w:b/>
          <w:bCs/>
          <w:i w:val="0"/>
          <w:caps w:val="0"/>
          <w:color w:val="333333"/>
          <w:spacing w:val="0"/>
          <w:sz w:val="32"/>
          <w:szCs w:val="32"/>
          <w:shd w:val="clear" w:fill="FFFFFF"/>
          <w:lang w:val="en-US" w:eastAsia="zh-CN"/>
        </w:rPr>
      </w:pPr>
    </w:p>
    <w:sectPr>
      <w:footerReference r:id="rId5" w:type="first"/>
      <w:headerReference r:id="rId3" w:type="default"/>
      <w:footerReference r:id="rId4" w:type="default"/>
      <w:pgSz w:w="11906" w:h="16838"/>
      <w:pgMar w:top="1440" w:right="1457" w:bottom="1440" w:left="1797" w:header="851" w:footer="992" w:gutter="0"/>
      <w:paperSrc/>
      <w:pgNumType w:fmt="numberInDash"/>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Franklin Gothic Medium">
    <w:panose1 w:val="020B0603020102020204"/>
    <w:charset w:val="00"/>
    <w:family w:val="auto"/>
    <w:pitch w:val="default"/>
    <w:sig w:usb0="00000287"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_x000B__x000C_">
    <w:altName w:val="Times New Roman"/>
    <w:panose1 w:val="00000000000000000000"/>
    <w:charset w:val="00"/>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- 15 -</w:t>
    </w:r>
    <w:r>
      <w:fldChar w:fldCharType="end"/>
    </w:r>
  </w:p>
  <w:p>
    <w:pPr>
      <w:pStyle w:val="3"/>
      <w:ind w:right="360"/>
      <w:rPr>
        <w:rFonts w:hint="eastAsia"/>
      </w:rPr>
    </w:pPr>
    <w:r>
      <w:rPr>
        <w:rFonts w:hint="eastAsia"/>
      </w:rPr>
      <w:tab/>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rPr>
        <w:rStyle w:val="8"/>
      </w:rPr>
      <w:instrText xml:space="preserve"> PAGE </w:instrText>
    </w:r>
    <w:r>
      <w:fldChar w:fldCharType="separate"/>
    </w:r>
    <w:r>
      <w:rPr>
        <w:rStyle w:val="8"/>
      </w:rPr>
      <w:t>- 69 -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758A0"/>
    <w:rsid w:val="07024DAE"/>
    <w:rsid w:val="0C481E3D"/>
    <w:rsid w:val="0DA771E9"/>
    <w:rsid w:val="10110E71"/>
    <w:rsid w:val="108A12F9"/>
    <w:rsid w:val="159B6CA9"/>
    <w:rsid w:val="1D3C20FA"/>
    <w:rsid w:val="20B45DBD"/>
    <w:rsid w:val="214D1B13"/>
    <w:rsid w:val="24E1421F"/>
    <w:rsid w:val="32082263"/>
    <w:rsid w:val="335758A0"/>
    <w:rsid w:val="34432BE9"/>
    <w:rsid w:val="3D764454"/>
    <w:rsid w:val="3DEA0DAE"/>
    <w:rsid w:val="3DEE2EE9"/>
    <w:rsid w:val="3EE653E0"/>
    <w:rsid w:val="43711072"/>
    <w:rsid w:val="4B981619"/>
    <w:rsid w:val="4BC30DC6"/>
    <w:rsid w:val="52FD6FBB"/>
    <w:rsid w:val="588C421E"/>
    <w:rsid w:val="60213C4D"/>
    <w:rsid w:val="61F9683B"/>
    <w:rsid w:val="624137AB"/>
    <w:rsid w:val="64AD54DB"/>
    <w:rsid w:val="6CF027C3"/>
    <w:rsid w:val="6E2C71A2"/>
    <w:rsid w:val="7B4102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kern w:val="0"/>
      <w:sz w:val="27"/>
      <w:szCs w:val="27"/>
      <w:lang w:val="en-US" w:eastAsia="zh-CN" w:bidi="ar"/>
    </w:rPr>
  </w:style>
  <w:style w:type="character" w:default="1" w:styleId="6">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153B84"/>
      <w:u w:val="none"/>
    </w:rPr>
  </w:style>
  <w:style w:type="character" w:styleId="10">
    <w:name w:val="Emphasis"/>
    <w:basedOn w:val="6"/>
    <w:qFormat/>
    <w:uiPriority w:val="0"/>
  </w:style>
  <w:style w:type="character" w:styleId="11">
    <w:name w:val="HTML Typewriter"/>
    <w:basedOn w:val="6"/>
    <w:qFormat/>
    <w:uiPriority w:val="0"/>
    <w:rPr>
      <w:color w:val="183986"/>
      <w:sz w:val="21"/>
      <w:szCs w:val="21"/>
    </w:rPr>
  </w:style>
  <w:style w:type="character" w:styleId="12">
    <w:name w:val="Hyperlink"/>
    <w:basedOn w:val="6"/>
    <w:qFormat/>
    <w:uiPriority w:val="0"/>
    <w:rPr>
      <w:color w:val="153B84"/>
      <w:u w:val="none"/>
    </w:rPr>
  </w:style>
  <w:style w:type="character" w:customStyle="1" w:styleId="14">
    <w:name w:val="gray2"/>
    <w:basedOn w:val="6"/>
    <w:qFormat/>
    <w:uiPriority w:val="0"/>
    <w:rPr>
      <w:vanish/>
    </w:rPr>
  </w:style>
  <w:style w:type="character" w:customStyle="1" w:styleId="15">
    <w:name w:val="p_total"/>
    <w:basedOn w:val="6"/>
    <w:qFormat/>
    <w:uiPriority w:val="0"/>
    <w:rPr>
      <w:b/>
      <w:color w:val="666666"/>
      <w:bdr w:val="single" w:color="999999" w:sz="6" w:space="0"/>
      <w:shd w:val="clear" w:fill="FFFFFF"/>
    </w:rPr>
  </w:style>
  <w:style w:type="character" w:customStyle="1" w:styleId="16">
    <w:name w:val="p_current"/>
    <w:basedOn w:val="6"/>
    <w:qFormat/>
    <w:uiPriority w:val="0"/>
    <w:rPr>
      <w:b/>
      <w:color w:val="666666"/>
      <w:bdr w:val="single" w:color="999999" w:sz="6" w:space="0"/>
      <w:shd w:val="clear" w:fill="F5F5DC"/>
    </w:rPr>
  </w:style>
  <w:style w:type="character" w:customStyle="1" w:styleId="17">
    <w:name w:val="bsharetext"/>
    <w:basedOn w:val="6"/>
    <w:qFormat/>
    <w:uiPriority w:val="0"/>
  </w:style>
  <w:style w:type="character" w:customStyle="1" w:styleId="18">
    <w:name w:val="current1"/>
    <w:basedOn w:val="6"/>
    <w:qFormat/>
    <w:uiPriority w:val="0"/>
    <w:rPr>
      <w:b/>
      <w:color w:val="FFFFFF"/>
      <w:bdr w:val="single" w:color="000080" w:sz="6" w:space="0"/>
      <w:shd w:val="clear" w:fill="2E6AB1"/>
    </w:rPr>
  </w:style>
  <w:style w:type="character" w:customStyle="1" w:styleId="19">
    <w:name w:val="disabled"/>
    <w:basedOn w:val="6"/>
    <w:qFormat/>
    <w:uiPriority w:val="0"/>
    <w:rPr>
      <w:color w:val="929292"/>
      <w:bdr w:val="single" w:color="929292" w:sz="6" w:space="0"/>
    </w:rPr>
  </w:style>
  <w:style w:type="paragraph" w:customStyle="1" w:styleId="20">
    <w:name w:val="标准文本"/>
    <w:basedOn w:val="1"/>
    <w:qFormat/>
    <w:uiPriority w:val="0"/>
    <w:pPr>
      <w:spacing w:line="360" w:lineRule="auto"/>
      <w:ind w:firstLine="480" w:firstLineChars="200"/>
    </w:pPr>
    <w:rPr>
      <w:rFonts w:eastAsia="Times New Roman"/>
      <w:kern w:val="0"/>
      <w:sz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customXml" Target="../customXml/item1.xml"/>
  <Relationship Id="rId8"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2016-09-22T02:58:00Z</dcterms:created>
  <dc:creator>Administrator</dc:creator>
  <lastModifiedBy>zkzxz</lastModifiedBy>
  <lastPrinted>2016-09-22T02:58:00Z</lastPrinted>
  <dcterms:modified xsi:type="dcterms:W3CDTF">2017-02-17T06:39:21Z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