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eastAsia="楷体_GB2312"/>
          <w:b/>
          <w:sz w:val="32"/>
          <w:szCs w:val="32"/>
        </w:rPr>
      </w:pPr>
      <w:r>
        <w:rPr>
          <w:rFonts w:hint="eastAsia" w:eastAsia="黑体"/>
          <w:b/>
          <w:sz w:val="32"/>
          <w:szCs w:val="32"/>
        </w:rPr>
        <w:t>高等职业</w:t>
      </w:r>
      <w:r>
        <w:rPr>
          <w:rFonts w:hint="eastAsia" w:eastAsia="黑体"/>
          <w:b/>
          <w:sz w:val="32"/>
        </w:rPr>
        <w:t>学校</w:t>
      </w:r>
      <w:r>
        <w:rPr>
          <w:rFonts w:hint="eastAsia" w:eastAsia="黑体"/>
          <w:b/>
          <w:sz w:val="32"/>
          <w:szCs w:val="32"/>
        </w:rPr>
        <w:t>园艺技术专业教学标准</w:t>
      </w:r>
    </w:p>
    <w:p>
      <w:pPr>
        <w:spacing w:line="360" w:lineRule="exact"/>
        <w:ind w:firstLine="482" w:firstLineChars="200"/>
        <w:outlineLvl w:val="1"/>
        <w:rPr>
          <w:rFonts w:hint="eastAsia" w:eastAsia="楷体_GB2312"/>
          <w:b/>
          <w:sz w:val="24"/>
        </w:rPr>
      </w:pPr>
    </w:p>
    <w:p>
      <w:pPr>
        <w:spacing w:line="360" w:lineRule="exact"/>
        <w:outlineLvl w:val="1"/>
        <w:rPr>
          <w:rFonts w:eastAsia="楷体_GB2312"/>
          <w:b/>
          <w:sz w:val="24"/>
        </w:rPr>
      </w:pPr>
      <w:r>
        <w:rPr>
          <w:rFonts w:hint="eastAsia" w:ascii="宋体" w:hAnsi="宋体"/>
          <w:b/>
          <w:sz w:val="24"/>
        </w:rPr>
        <w:t>专业名称</w:t>
      </w:r>
      <w:r>
        <w:rPr>
          <w:rFonts w:hint="eastAsia" w:eastAsia="楷体_GB2312"/>
          <w:b/>
          <w:sz w:val="24"/>
        </w:rPr>
        <w:t xml:space="preserve">  </w:t>
      </w:r>
      <w:r>
        <w:rPr>
          <w:rFonts w:ascii="宋体" w:hAnsi="宋体"/>
          <w:szCs w:val="21"/>
        </w:rPr>
        <w:t>园艺技术</w:t>
      </w:r>
    </w:p>
    <w:p>
      <w:pPr>
        <w:spacing w:line="360" w:lineRule="exact"/>
        <w:ind w:firstLine="482" w:firstLineChars="200"/>
        <w:outlineLvl w:val="1"/>
        <w:rPr>
          <w:rFonts w:hint="eastAsia" w:eastAsia="楷体_GB2312"/>
          <w:b/>
          <w:sz w:val="24"/>
        </w:rPr>
      </w:pPr>
    </w:p>
    <w:p>
      <w:pPr>
        <w:spacing w:line="360" w:lineRule="exact"/>
        <w:outlineLvl w:val="1"/>
        <w:rPr>
          <w:rFonts w:hint="eastAsia" w:ascii="宋体" w:hAnsi="宋体"/>
          <w:szCs w:val="21"/>
        </w:rPr>
      </w:pPr>
      <w:r>
        <w:rPr>
          <w:rFonts w:hint="eastAsia" w:ascii="宋体" w:hAnsi="宋体"/>
          <w:b/>
          <w:sz w:val="24"/>
        </w:rPr>
        <w:t>专业代码</w:t>
      </w:r>
      <w:r>
        <w:rPr>
          <w:rFonts w:hint="eastAsia" w:eastAsia="楷体_GB2312"/>
          <w:b/>
          <w:sz w:val="24"/>
        </w:rPr>
        <w:t xml:space="preserve">  </w:t>
      </w:r>
      <w:r>
        <w:rPr>
          <w:rFonts w:hint="eastAsia" w:ascii="宋体" w:hAnsi="宋体"/>
          <w:szCs w:val="21"/>
        </w:rPr>
        <w:t xml:space="preserve">510105 </w:t>
      </w:r>
    </w:p>
    <w:p>
      <w:pPr>
        <w:spacing w:line="360" w:lineRule="exact"/>
        <w:ind w:firstLine="482" w:firstLineChars="200"/>
        <w:outlineLvl w:val="1"/>
        <w:rPr>
          <w:rFonts w:hint="eastAsia" w:eastAsia="楷体_GB2312"/>
          <w:b/>
          <w:sz w:val="24"/>
        </w:rPr>
      </w:pPr>
    </w:p>
    <w:p>
      <w:pPr>
        <w:spacing w:line="360" w:lineRule="exact"/>
        <w:outlineLvl w:val="1"/>
        <w:rPr>
          <w:rFonts w:hint="eastAsia" w:ascii="宋体" w:hAnsi="宋体"/>
          <w:b/>
          <w:sz w:val="24"/>
        </w:rPr>
      </w:pPr>
      <w:r>
        <w:rPr>
          <w:rFonts w:hint="eastAsia" w:ascii="宋体" w:hAnsi="宋体"/>
          <w:b/>
          <w:sz w:val="24"/>
        </w:rPr>
        <w:t>招生对象</w:t>
      </w:r>
    </w:p>
    <w:p>
      <w:pPr>
        <w:spacing w:line="360" w:lineRule="exact"/>
        <w:ind w:firstLine="420" w:firstLineChars="200"/>
        <w:rPr>
          <w:rFonts w:hint="eastAsia" w:ascii="宋体" w:hAnsi="宋体" w:eastAsiaTheme="minorEastAsia"/>
          <w:szCs w:val="21"/>
          <w:lang w:eastAsia="zh-CN"/>
        </w:rPr>
      </w:pPr>
      <w:r>
        <w:rPr>
          <w:rFonts w:hint="eastAsia" w:ascii="宋体" w:hAnsi="宋体"/>
          <w:szCs w:val="21"/>
          <w:lang w:eastAsia="zh-CN"/>
        </w:rPr>
        <w:t>普通高中毕业生</w:t>
      </w:r>
      <w:r>
        <w:rPr>
          <w:rFonts w:hint="eastAsia" w:ascii="宋体" w:hAnsi="宋体"/>
          <w:szCs w:val="21"/>
          <w:lang w:val="en-US" w:eastAsia="zh-CN"/>
        </w:rPr>
        <w:t>/中职学校毕业生</w:t>
      </w:r>
    </w:p>
    <w:p>
      <w:pPr>
        <w:spacing w:line="360" w:lineRule="exact"/>
        <w:ind w:firstLine="482" w:firstLineChars="200"/>
        <w:outlineLvl w:val="1"/>
        <w:rPr>
          <w:rFonts w:hint="eastAsia" w:eastAsia="楷体_GB2312"/>
          <w:b/>
          <w:sz w:val="24"/>
        </w:rPr>
      </w:pPr>
    </w:p>
    <w:p>
      <w:pPr>
        <w:spacing w:line="360" w:lineRule="exact"/>
        <w:outlineLvl w:val="1"/>
        <w:rPr>
          <w:rFonts w:hint="eastAsia" w:ascii="宋体" w:hAnsi="宋体"/>
          <w:b/>
          <w:sz w:val="24"/>
        </w:rPr>
      </w:pPr>
      <w:r>
        <w:rPr>
          <w:rFonts w:hint="eastAsia" w:ascii="宋体" w:hAnsi="宋体"/>
          <w:b/>
          <w:sz w:val="24"/>
        </w:rPr>
        <w:t>学制与学历</w:t>
      </w:r>
    </w:p>
    <w:p>
      <w:pPr>
        <w:spacing w:line="360" w:lineRule="exact"/>
        <w:ind w:firstLine="420" w:firstLineChars="200"/>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pacing w:line="360" w:lineRule="exact"/>
        <w:ind w:firstLine="482" w:firstLineChars="200"/>
        <w:outlineLvl w:val="1"/>
        <w:rPr>
          <w:rFonts w:hint="eastAsia" w:eastAsia="楷体_GB2312"/>
          <w:b/>
          <w:sz w:val="24"/>
        </w:rPr>
      </w:pPr>
    </w:p>
    <w:p>
      <w:pPr>
        <w:spacing w:line="360" w:lineRule="exact"/>
        <w:outlineLvl w:val="1"/>
        <w:rPr>
          <w:rFonts w:hint="eastAsia" w:ascii="宋体" w:hAnsi="宋体"/>
          <w:b/>
          <w:sz w:val="24"/>
        </w:rPr>
      </w:pPr>
      <w:r>
        <w:rPr>
          <w:rFonts w:hint="eastAsia" w:ascii="宋体" w:hAnsi="宋体"/>
          <w:b/>
          <w:sz w:val="24"/>
        </w:rPr>
        <w:t>就业面向</w:t>
      </w:r>
    </w:p>
    <w:p>
      <w:pPr>
        <w:spacing w:line="360" w:lineRule="exact"/>
        <w:ind w:firstLine="420" w:firstLineChars="200"/>
        <w:rPr>
          <w:rFonts w:hint="eastAsia" w:ascii="宋体" w:hAnsi="宋体"/>
          <w:szCs w:val="21"/>
        </w:rPr>
      </w:pPr>
      <w:r>
        <w:rPr>
          <w:rFonts w:hint="eastAsia" w:ascii="宋体" w:hAnsi="宋体"/>
          <w:szCs w:val="21"/>
        </w:rPr>
        <w:t>1.就业领域：园艺生产技术领域</w:t>
      </w:r>
      <w:r>
        <w:rPr>
          <w:rFonts w:hint="eastAsia" w:ascii="宋体" w:hAnsi="宋体"/>
          <w:szCs w:val="21"/>
          <w:lang w:eastAsia="zh-CN"/>
        </w:rPr>
        <w:t>、</w:t>
      </w:r>
      <w:r>
        <w:rPr>
          <w:rFonts w:hint="eastAsia" w:ascii="宋体" w:hAnsi="宋体"/>
          <w:szCs w:val="21"/>
        </w:rPr>
        <w:t>园艺生产管理领域</w:t>
      </w:r>
      <w:r>
        <w:rPr>
          <w:rFonts w:hint="eastAsia" w:ascii="宋体" w:hAnsi="宋体"/>
          <w:szCs w:val="21"/>
          <w:lang w:eastAsia="zh-CN"/>
        </w:rPr>
        <w:t>、</w:t>
      </w:r>
      <w:r>
        <w:rPr>
          <w:rFonts w:hint="eastAsia" w:ascii="宋体" w:hAnsi="宋体"/>
          <w:szCs w:val="21"/>
        </w:rPr>
        <w:t>园艺产品经营领域。</w:t>
      </w:r>
    </w:p>
    <w:p>
      <w:pPr>
        <w:spacing w:line="360" w:lineRule="exact"/>
        <w:ind w:firstLine="420" w:firstLineChars="200"/>
        <w:rPr>
          <w:rFonts w:hint="eastAsia" w:ascii="宋体" w:hAnsi="宋体"/>
          <w:szCs w:val="21"/>
        </w:rPr>
      </w:pPr>
      <w:r>
        <w:rPr>
          <w:rFonts w:hint="eastAsia" w:ascii="宋体" w:hAnsi="宋体"/>
          <w:szCs w:val="21"/>
        </w:rPr>
        <w:t>2.初始岗位：</w:t>
      </w:r>
      <w:r>
        <w:rPr>
          <w:rFonts w:ascii="宋体" w:hAnsi="宋体"/>
          <w:szCs w:val="21"/>
        </w:rPr>
        <w:t>园艺产品生产</w:t>
      </w:r>
      <w:r>
        <w:rPr>
          <w:rFonts w:hint="eastAsia" w:ascii="宋体" w:hAnsi="宋体"/>
          <w:szCs w:val="21"/>
        </w:rPr>
        <w:t>，</w:t>
      </w:r>
      <w:r>
        <w:rPr>
          <w:rFonts w:ascii="宋体" w:hAnsi="宋体"/>
          <w:szCs w:val="21"/>
        </w:rPr>
        <w:t>种苗繁育</w:t>
      </w:r>
      <w:r>
        <w:rPr>
          <w:rFonts w:hint="eastAsia" w:ascii="宋体" w:hAnsi="宋体"/>
          <w:szCs w:val="21"/>
        </w:rPr>
        <w:t>，</w:t>
      </w:r>
      <w:r>
        <w:rPr>
          <w:rFonts w:ascii="宋体" w:hAnsi="宋体"/>
          <w:szCs w:val="21"/>
        </w:rPr>
        <w:t>田间生产试验</w:t>
      </w:r>
      <w:r>
        <w:rPr>
          <w:rFonts w:hint="eastAsia" w:ascii="宋体" w:hAnsi="宋体"/>
          <w:szCs w:val="21"/>
        </w:rPr>
        <w:t>，</w:t>
      </w:r>
      <w:r>
        <w:rPr>
          <w:rFonts w:ascii="宋体" w:hAnsi="宋体"/>
          <w:szCs w:val="21"/>
        </w:rPr>
        <w:t>园艺产品贮运加工</w:t>
      </w:r>
      <w:r>
        <w:rPr>
          <w:rFonts w:hint="eastAsia" w:ascii="宋体" w:hAnsi="宋体"/>
          <w:szCs w:val="21"/>
        </w:rPr>
        <w:t>，</w:t>
      </w:r>
      <w:r>
        <w:rPr>
          <w:rFonts w:ascii="宋体" w:hAnsi="宋体"/>
          <w:szCs w:val="21"/>
        </w:rPr>
        <w:t>园艺</w:t>
      </w:r>
      <w:r>
        <w:rPr>
          <w:rFonts w:hint="eastAsia" w:ascii="宋体" w:hAnsi="宋体"/>
          <w:szCs w:val="21"/>
        </w:rPr>
        <w:t>及农资</w:t>
      </w:r>
      <w:r>
        <w:rPr>
          <w:rFonts w:ascii="宋体" w:hAnsi="宋体"/>
          <w:szCs w:val="21"/>
        </w:rPr>
        <w:t>产品营销</w:t>
      </w:r>
      <w:r>
        <w:rPr>
          <w:rFonts w:hint="eastAsia" w:ascii="宋体" w:hAnsi="宋体"/>
          <w:szCs w:val="21"/>
        </w:rPr>
        <w:t>，</w:t>
      </w:r>
      <w:r>
        <w:rPr>
          <w:rFonts w:hint="eastAsia"/>
        </w:rPr>
        <w:t>农村、社区基础管理</w:t>
      </w:r>
      <w:r>
        <w:rPr>
          <w:rFonts w:hint="eastAsia" w:ascii="宋体" w:hAnsi="宋体"/>
          <w:szCs w:val="21"/>
        </w:rPr>
        <w:t>等</w:t>
      </w:r>
      <w:r>
        <w:rPr>
          <w:rFonts w:ascii="宋体" w:hAnsi="宋体"/>
          <w:szCs w:val="21"/>
        </w:rPr>
        <w:t>岗位</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3.发展岗位：初始岗位工作3年左右，可以</w:t>
      </w:r>
      <w:r>
        <w:rPr>
          <w:rFonts w:hint="eastAsia" w:ascii="宋体" w:hAnsi="宋体"/>
          <w:szCs w:val="21"/>
          <w:lang w:eastAsia="zh-CN"/>
        </w:rPr>
        <w:t>进入</w:t>
      </w:r>
      <w:r>
        <w:rPr>
          <w:rFonts w:ascii="宋体" w:hAnsi="宋体"/>
          <w:szCs w:val="21"/>
        </w:rPr>
        <w:t>生产规划设计</w:t>
      </w:r>
      <w:r>
        <w:rPr>
          <w:rFonts w:hint="eastAsia" w:ascii="宋体" w:hAnsi="宋体"/>
          <w:szCs w:val="21"/>
          <w:lang w:eastAsia="zh-CN"/>
        </w:rPr>
        <w:t>、</w:t>
      </w:r>
      <w:r>
        <w:rPr>
          <w:rFonts w:hint="eastAsia" w:ascii="宋体" w:hAnsi="宋体"/>
          <w:szCs w:val="21"/>
        </w:rPr>
        <w:t>生产项目</w:t>
      </w:r>
      <w:r>
        <w:rPr>
          <w:rFonts w:ascii="宋体" w:hAnsi="宋体"/>
          <w:szCs w:val="21"/>
        </w:rPr>
        <w:t>组织</w:t>
      </w:r>
      <w:r>
        <w:rPr>
          <w:rFonts w:hint="eastAsia" w:ascii="宋体" w:hAnsi="宋体"/>
          <w:szCs w:val="21"/>
        </w:rPr>
        <w:t>实施</w:t>
      </w:r>
      <w:r>
        <w:rPr>
          <w:rFonts w:hint="eastAsia" w:ascii="宋体" w:hAnsi="宋体"/>
          <w:szCs w:val="21"/>
          <w:lang w:eastAsia="zh-CN"/>
        </w:rPr>
        <w:t>、</w:t>
      </w:r>
      <w:r>
        <w:rPr>
          <w:rFonts w:hint="eastAsia" w:ascii="宋体" w:hAnsi="宋体"/>
          <w:szCs w:val="21"/>
        </w:rPr>
        <w:t>生产企业</w:t>
      </w:r>
      <w:r>
        <w:rPr>
          <w:rFonts w:ascii="宋体" w:hAnsi="宋体"/>
          <w:szCs w:val="21"/>
        </w:rPr>
        <w:t>综合管理</w:t>
      </w:r>
      <w:r>
        <w:rPr>
          <w:rFonts w:hint="eastAsia" w:ascii="宋体" w:hAnsi="宋体"/>
          <w:szCs w:val="21"/>
        </w:rPr>
        <w:t>等岗位，也可根据专业特长自主创业。</w:t>
      </w:r>
    </w:p>
    <w:p>
      <w:pPr>
        <w:spacing w:line="360" w:lineRule="exact"/>
        <w:ind w:firstLine="482" w:firstLineChars="200"/>
        <w:outlineLvl w:val="1"/>
        <w:rPr>
          <w:rFonts w:hint="eastAsia" w:eastAsia="楷体_GB2312"/>
          <w:b/>
          <w:sz w:val="24"/>
        </w:rPr>
      </w:pPr>
    </w:p>
    <w:p>
      <w:pPr>
        <w:spacing w:line="360" w:lineRule="exact"/>
        <w:outlineLvl w:val="1"/>
        <w:rPr>
          <w:rFonts w:hint="eastAsia" w:ascii="宋体" w:hAnsi="宋体"/>
          <w:b/>
          <w:sz w:val="24"/>
        </w:rPr>
      </w:pPr>
      <w:r>
        <w:rPr>
          <w:rFonts w:hint="eastAsia" w:ascii="宋体" w:hAnsi="宋体"/>
          <w:b/>
          <w:sz w:val="24"/>
        </w:rPr>
        <w:t>培养目标与规格</w:t>
      </w:r>
    </w:p>
    <w:p>
      <w:pPr>
        <w:spacing w:line="360" w:lineRule="exact"/>
        <w:ind w:firstLine="422" w:firstLineChars="200"/>
        <w:rPr>
          <w:rFonts w:ascii="宋体" w:hAnsi="宋体"/>
          <w:b/>
          <w:bCs/>
          <w:szCs w:val="21"/>
        </w:rPr>
      </w:pPr>
      <w:r>
        <w:rPr>
          <w:rFonts w:hint="eastAsia" w:ascii="宋体" w:hAnsi="宋体"/>
          <w:b/>
          <w:bCs/>
          <w:szCs w:val="21"/>
        </w:rPr>
        <w:t>一、</w:t>
      </w:r>
      <w:r>
        <w:rPr>
          <w:rFonts w:ascii="宋体" w:hAnsi="宋体"/>
          <w:b/>
          <w:bCs/>
          <w:szCs w:val="21"/>
        </w:rPr>
        <w:t>培养目标</w:t>
      </w:r>
    </w:p>
    <w:p>
      <w:pPr>
        <w:spacing w:line="360" w:lineRule="exact"/>
        <w:ind w:firstLine="420" w:firstLineChars="200"/>
        <w:rPr>
          <w:rFonts w:hint="eastAsia" w:ascii="宋体" w:hAnsi="宋体"/>
          <w:szCs w:val="21"/>
        </w:rPr>
      </w:pPr>
      <w:r>
        <w:rPr>
          <w:rFonts w:ascii="宋体" w:hAnsi="宋体"/>
          <w:szCs w:val="21"/>
        </w:rPr>
        <w:t>培养德、智、体、美等全面发展，具备园艺植物生产、管理、经营等基本知识，掌握园艺植物栽培、</w:t>
      </w:r>
      <w:r>
        <w:rPr>
          <w:rFonts w:hint="eastAsia" w:ascii="宋体" w:hAnsi="宋体"/>
          <w:szCs w:val="21"/>
        </w:rPr>
        <w:t>组织生产与技术文本撰写、园艺设施、机械使用与维护</w:t>
      </w:r>
      <w:r>
        <w:rPr>
          <w:rFonts w:hint="eastAsia" w:ascii="宋体" w:hAnsi="宋体"/>
          <w:szCs w:val="21"/>
          <w:lang w:eastAsia="zh-CN"/>
        </w:rPr>
        <w:t>以及</w:t>
      </w:r>
      <w:r>
        <w:rPr>
          <w:rFonts w:ascii="宋体" w:hAnsi="宋体"/>
          <w:szCs w:val="21"/>
        </w:rPr>
        <w:t>市场营销基本技能，能满足园艺植物栽培、育种及良种繁育、应用性试验、科技开发和农业技术推广等生产一线岗位工作需要的高端技能型专门人才。</w:t>
      </w:r>
    </w:p>
    <w:p>
      <w:pPr>
        <w:spacing w:line="360" w:lineRule="exact"/>
        <w:ind w:firstLine="422" w:firstLineChars="200"/>
        <w:rPr>
          <w:rFonts w:hint="eastAsia" w:ascii="宋体" w:hAnsi="宋体"/>
          <w:b/>
          <w:bCs/>
          <w:szCs w:val="21"/>
        </w:rPr>
      </w:pPr>
      <w:r>
        <w:rPr>
          <w:rFonts w:hint="eastAsia" w:ascii="宋体" w:hAnsi="宋体"/>
          <w:b/>
          <w:bCs/>
          <w:szCs w:val="21"/>
        </w:rPr>
        <w:t>二、基本规格</w:t>
      </w:r>
    </w:p>
    <w:p>
      <w:pPr>
        <w:spacing w:line="360" w:lineRule="exact"/>
        <w:ind w:firstLine="420" w:firstLineChars="200"/>
        <w:rPr>
          <w:rFonts w:hint="eastAsia" w:ascii="宋体" w:hAnsi="宋体"/>
          <w:szCs w:val="21"/>
        </w:rPr>
      </w:pPr>
      <w:r>
        <w:rPr>
          <w:rFonts w:hint="eastAsia" w:ascii="宋体" w:hAnsi="宋体"/>
          <w:szCs w:val="21"/>
        </w:rPr>
        <w:t>（一）基本素质要求</w:t>
      </w:r>
    </w:p>
    <w:p>
      <w:pPr>
        <w:spacing w:line="360" w:lineRule="exact"/>
        <w:ind w:firstLine="420" w:firstLineChars="200"/>
        <w:rPr>
          <w:rFonts w:hint="eastAsia" w:ascii="宋体" w:hAnsi="宋体"/>
          <w:szCs w:val="21"/>
        </w:rPr>
      </w:pPr>
      <w:r>
        <w:rPr>
          <w:rFonts w:ascii="宋体" w:hAnsi="宋体"/>
          <w:szCs w:val="21"/>
        </w:rPr>
        <w:t>具有良好的心理素质和身体素质</w:t>
      </w:r>
      <w:r>
        <w:rPr>
          <w:rFonts w:hint="eastAsia" w:ascii="宋体" w:hAnsi="宋体"/>
          <w:szCs w:val="21"/>
          <w:lang w:eastAsia="zh-CN"/>
        </w:rPr>
        <w:t>，</w:t>
      </w:r>
      <w:r>
        <w:rPr>
          <w:rFonts w:hint="eastAsia" w:ascii="宋体" w:hAnsi="宋体"/>
          <w:szCs w:val="21"/>
        </w:rPr>
        <w:t>具有良好的政治素养</w:t>
      </w:r>
      <w:r>
        <w:rPr>
          <w:rFonts w:hint="eastAsia" w:ascii="宋体" w:hAnsi="宋体"/>
          <w:szCs w:val="21"/>
          <w:lang w:eastAsia="zh-CN"/>
        </w:rPr>
        <w:t>，</w:t>
      </w:r>
      <w:r>
        <w:rPr>
          <w:rFonts w:ascii="宋体" w:hAnsi="宋体"/>
          <w:szCs w:val="21"/>
        </w:rPr>
        <w:t>具有较强的信息采集与处理的能力</w:t>
      </w:r>
      <w:r>
        <w:rPr>
          <w:rFonts w:hint="eastAsia" w:ascii="宋体" w:hAnsi="宋体"/>
          <w:szCs w:val="21"/>
          <w:lang w:eastAsia="zh-CN"/>
        </w:rPr>
        <w:t>，</w:t>
      </w:r>
      <w:r>
        <w:rPr>
          <w:rFonts w:ascii="宋体" w:hAnsi="宋体"/>
          <w:szCs w:val="21"/>
        </w:rPr>
        <w:t>具有较强的自主学习、自我提高的能力</w:t>
      </w:r>
      <w:r>
        <w:rPr>
          <w:rFonts w:hint="eastAsia" w:ascii="宋体" w:hAnsi="宋体"/>
          <w:szCs w:val="21"/>
          <w:lang w:eastAsia="zh-CN"/>
        </w:rPr>
        <w:t>，</w:t>
      </w:r>
      <w:r>
        <w:rPr>
          <w:rFonts w:ascii="宋体" w:hAnsi="宋体"/>
          <w:szCs w:val="21"/>
        </w:rPr>
        <w:t>具有知识迁移等综合能力</w:t>
      </w:r>
      <w:r>
        <w:rPr>
          <w:rFonts w:hint="eastAsia" w:ascii="宋体" w:hAnsi="宋体"/>
          <w:szCs w:val="21"/>
          <w:lang w:eastAsia="zh-CN"/>
        </w:rPr>
        <w:t>，</w:t>
      </w:r>
      <w:r>
        <w:rPr>
          <w:rFonts w:ascii="宋体" w:hAnsi="宋体"/>
          <w:szCs w:val="21"/>
        </w:rPr>
        <w:t>具备较强的团队协作、组织协调能力</w:t>
      </w:r>
      <w:r>
        <w:rPr>
          <w:rFonts w:hint="eastAsia" w:ascii="宋体" w:hAnsi="宋体"/>
          <w:szCs w:val="21"/>
          <w:lang w:eastAsia="zh-CN"/>
        </w:rPr>
        <w:t>，</w:t>
      </w:r>
      <w:r>
        <w:rPr>
          <w:rFonts w:ascii="宋体" w:hAnsi="宋体"/>
          <w:szCs w:val="21"/>
        </w:rPr>
        <w:t>具有较好的语言表达、沟通交流、人际交往能力</w:t>
      </w:r>
      <w:r>
        <w:rPr>
          <w:rFonts w:hint="eastAsia" w:ascii="宋体" w:hAnsi="宋体"/>
          <w:szCs w:val="21"/>
          <w:lang w:eastAsia="zh-CN"/>
        </w:rPr>
        <w:t>，</w:t>
      </w:r>
      <w:r>
        <w:rPr>
          <w:rFonts w:ascii="宋体" w:hAnsi="宋体"/>
          <w:szCs w:val="21"/>
        </w:rPr>
        <w:t>具有较强的</w:t>
      </w:r>
      <w:r>
        <w:rPr>
          <w:rFonts w:hint="eastAsia" w:ascii="宋体" w:hAnsi="宋体"/>
          <w:szCs w:val="21"/>
        </w:rPr>
        <w:t>创业、</w:t>
      </w:r>
      <w:r>
        <w:rPr>
          <w:rFonts w:ascii="宋体" w:hAnsi="宋体"/>
          <w:szCs w:val="21"/>
        </w:rPr>
        <w:t>创新能力</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（二）专业知识能力要求</w:t>
      </w:r>
    </w:p>
    <w:p>
      <w:pPr>
        <w:ind w:firstLine="420" w:firstLineChars="200"/>
        <w:rPr>
          <w:rFonts w:ascii="宋体" w:hAnsi="宋体"/>
          <w:szCs w:val="21"/>
        </w:rPr>
      </w:pPr>
      <w:r>
        <w:rPr>
          <w:rFonts w:hint="eastAsia" w:ascii="宋体" w:hAnsi="宋体"/>
          <w:szCs w:val="21"/>
        </w:rPr>
        <w:t>能正确识别常见园艺</w:t>
      </w:r>
      <w:r>
        <w:rPr>
          <w:rFonts w:ascii="宋体" w:hAnsi="宋体"/>
          <w:szCs w:val="21"/>
        </w:rPr>
        <w:t>植物</w:t>
      </w:r>
      <w:r>
        <w:rPr>
          <w:rFonts w:hint="eastAsia" w:ascii="宋体" w:hAnsi="宋体"/>
          <w:szCs w:val="21"/>
          <w:lang w:eastAsia="zh-CN"/>
        </w:rPr>
        <w:t>，</w:t>
      </w:r>
      <w:r>
        <w:rPr>
          <w:rFonts w:hint="eastAsia" w:ascii="宋体" w:hAnsi="宋体"/>
          <w:szCs w:val="21"/>
        </w:rPr>
        <w:t>能熟练进行园艺植物土壤、肥料、水分管理</w:t>
      </w:r>
      <w:r>
        <w:rPr>
          <w:rFonts w:hint="eastAsia" w:ascii="宋体" w:hAnsi="宋体"/>
          <w:szCs w:val="21"/>
          <w:lang w:eastAsia="zh-CN"/>
        </w:rPr>
        <w:t>，</w:t>
      </w:r>
      <w:r>
        <w:rPr>
          <w:rFonts w:hint="eastAsia" w:ascii="宋体" w:hAnsi="宋体"/>
          <w:szCs w:val="21"/>
        </w:rPr>
        <w:t>能正确使用</w:t>
      </w:r>
      <w:r>
        <w:rPr>
          <w:rFonts w:ascii="宋体" w:hAnsi="宋体"/>
          <w:szCs w:val="21"/>
        </w:rPr>
        <w:t>常见</w:t>
      </w:r>
      <w:r>
        <w:rPr>
          <w:rFonts w:hint="eastAsia" w:ascii="宋体" w:hAnsi="宋体"/>
          <w:szCs w:val="21"/>
        </w:rPr>
        <w:t>各种园艺设施</w:t>
      </w:r>
      <w:r>
        <w:rPr>
          <w:rFonts w:hint="eastAsia" w:ascii="宋体" w:hAnsi="宋体"/>
          <w:szCs w:val="21"/>
          <w:lang w:eastAsia="zh-CN"/>
        </w:rPr>
        <w:t>，</w:t>
      </w:r>
      <w:r>
        <w:rPr>
          <w:rFonts w:hint="eastAsia" w:ascii="宋体" w:hAnsi="宋体"/>
          <w:szCs w:val="21"/>
        </w:rPr>
        <w:t>熟练栽培管理常见果树、蔬菜和花卉</w:t>
      </w:r>
      <w:r>
        <w:rPr>
          <w:rFonts w:hint="eastAsia" w:ascii="宋体" w:hAnsi="宋体"/>
          <w:szCs w:val="21"/>
          <w:lang w:eastAsia="zh-CN"/>
        </w:rPr>
        <w:t>，</w:t>
      </w:r>
      <w:r>
        <w:rPr>
          <w:rFonts w:hint="eastAsia" w:ascii="宋体" w:hAnsi="宋体"/>
          <w:szCs w:val="21"/>
        </w:rPr>
        <w:t>能正确诊断和防治</w:t>
      </w:r>
      <w:r>
        <w:rPr>
          <w:rFonts w:ascii="宋体" w:hAnsi="宋体"/>
          <w:szCs w:val="21"/>
        </w:rPr>
        <w:t>园艺植物</w:t>
      </w:r>
      <w:r>
        <w:rPr>
          <w:rFonts w:hint="eastAsia" w:ascii="宋体" w:hAnsi="宋体"/>
          <w:szCs w:val="21"/>
        </w:rPr>
        <w:t>常见</w:t>
      </w:r>
      <w:r>
        <w:rPr>
          <w:rFonts w:ascii="宋体" w:hAnsi="宋体"/>
          <w:szCs w:val="21"/>
        </w:rPr>
        <w:t>病虫害</w:t>
      </w:r>
      <w:r>
        <w:rPr>
          <w:rFonts w:hint="eastAsia" w:ascii="宋体" w:hAnsi="宋体"/>
          <w:szCs w:val="21"/>
          <w:lang w:eastAsia="zh-CN"/>
        </w:rPr>
        <w:t>，</w:t>
      </w:r>
      <w:r>
        <w:rPr>
          <w:rFonts w:hint="eastAsia" w:ascii="宋体" w:hAnsi="宋体"/>
          <w:szCs w:val="21"/>
        </w:rPr>
        <w:t>能熟练繁育常见</w:t>
      </w:r>
      <w:r>
        <w:rPr>
          <w:rFonts w:ascii="宋体" w:hAnsi="宋体"/>
          <w:szCs w:val="21"/>
        </w:rPr>
        <w:t>园艺植物</w:t>
      </w:r>
      <w:r>
        <w:rPr>
          <w:rFonts w:hint="eastAsia" w:ascii="宋体" w:hAnsi="宋体"/>
          <w:szCs w:val="21"/>
        </w:rPr>
        <w:t>的</w:t>
      </w:r>
      <w:r>
        <w:rPr>
          <w:rFonts w:ascii="宋体" w:hAnsi="宋体"/>
          <w:szCs w:val="21"/>
        </w:rPr>
        <w:t>种</w:t>
      </w:r>
      <w:r>
        <w:rPr>
          <w:rFonts w:hint="eastAsia" w:ascii="宋体" w:hAnsi="宋体"/>
          <w:szCs w:val="21"/>
        </w:rPr>
        <w:t>子和</w:t>
      </w:r>
      <w:r>
        <w:rPr>
          <w:rFonts w:ascii="宋体" w:hAnsi="宋体"/>
          <w:szCs w:val="21"/>
        </w:rPr>
        <w:t>苗</w:t>
      </w:r>
      <w:r>
        <w:rPr>
          <w:rFonts w:hint="eastAsia" w:ascii="宋体" w:hAnsi="宋体"/>
          <w:szCs w:val="21"/>
        </w:rPr>
        <w:t>木</w:t>
      </w:r>
      <w:r>
        <w:rPr>
          <w:rFonts w:hint="eastAsia" w:ascii="宋体" w:hAnsi="宋体"/>
          <w:szCs w:val="21"/>
          <w:lang w:eastAsia="zh-CN"/>
        </w:rPr>
        <w:t>，</w:t>
      </w:r>
      <w:r>
        <w:rPr>
          <w:rFonts w:hint="eastAsia" w:ascii="宋体" w:hAnsi="宋体"/>
          <w:szCs w:val="21"/>
        </w:rPr>
        <w:t>能</w:t>
      </w:r>
      <w:r>
        <w:rPr>
          <w:rFonts w:ascii="宋体" w:hAnsi="宋体"/>
          <w:szCs w:val="21"/>
        </w:rPr>
        <w:t>独立进行试验设计、田间调查</w:t>
      </w:r>
      <w:r>
        <w:rPr>
          <w:rFonts w:hint="eastAsia" w:ascii="宋体" w:hAnsi="宋体"/>
          <w:szCs w:val="21"/>
        </w:rPr>
        <w:t>并</w:t>
      </w:r>
      <w:r>
        <w:rPr>
          <w:rFonts w:ascii="宋体" w:hAnsi="宋体"/>
          <w:szCs w:val="21"/>
        </w:rPr>
        <w:t>对调查结果进行统计分析</w:t>
      </w:r>
      <w:r>
        <w:rPr>
          <w:rFonts w:hint="eastAsia" w:ascii="宋体" w:hAnsi="宋体"/>
          <w:szCs w:val="21"/>
          <w:lang w:eastAsia="zh-CN"/>
        </w:rPr>
        <w:t>，</w:t>
      </w:r>
      <w:r>
        <w:rPr>
          <w:rFonts w:hint="eastAsia" w:ascii="宋体" w:hAnsi="宋体"/>
          <w:szCs w:val="21"/>
        </w:rPr>
        <w:t>能制定生产计划和撰写工作总结。</w:t>
      </w:r>
    </w:p>
    <w:p>
      <w:pPr>
        <w:spacing w:line="360" w:lineRule="exact"/>
        <w:ind w:firstLine="420" w:firstLineChars="200"/>
        <w:rPr>
          <w:rFonts w:hint="eastAsia" w:ascii="宋体" w:hAnsi="宋体"/>
          <w:szCs w:val="21"/>
        </w:rPr>
      </w:pPr>
      <w:r>
        <w:rPr>
          <w:rFonts w:hint="eastAsia" w:ascii="宋体" w:hAnsi="宋体"/>
          <w:szCs w:val="21"/>
        </w:rPr>
        <w:t>（三）职业态度</w:t>
      </w:r>
    </w:p>
    <w:p>
      <w:pPr>
        <w:spacing w:line="360" w:lineRule="exact"/>
        <w:ind w:firstLine="420" w:firstLineChars="200"/>
        <w:rPr>
          <w:rFonts w:ascii="宋体" w:hAnsi="宋体"/>
          <w:szCs w:val="21"/>
        </w:rPr>
      </w:pPr>
      <w:r>
        <w:rPr>
          <w:rFonts w:hint="eastAsia" w:ascii="宋体" w:hAnsi="宋体"/>
          <w:szCs w:val="21"/>
        </w:rPr>
        <w:t>热爱园艺事业，</w:t>
      </w:r>
      <w:r>
        <w:rPr>
          <w:rFonts w:ascii="宋体" w:hAnsi="宋体"/>
          <w:szCs w:val="21"/>
        </w:rPr>
        <w:t>具有吃苦耐劳、热爱劳动</w:t>
      </w:r>
      <w:r>
        <w:rPr>
          <w:rFonts w:hint="eastAsia" w:ascii="宋体" w:hAnsi="宋体"/>
          <w:szCs w:val="21"/>
          <w:lang w:eastAsia="zh-CN"/>
        </w:rPr>
        <w:t>、</w:t>
      </w:r>
      <w:r>
        <w:rPr>
          <w:rFonts w:ascii="宋体" w:hAnsi="宋体"/>
          <w:szCs w:val="21"/>
        </w:rPr>
        <w:t>踏实肯干、爱岗敬业等职业道德</w:t>
      </w:r>
      <w:r>
        <w:rPr>
          <w:rFonts w:hint="eastAsia" w:ascii="宋体" w:hAnsi="宋体"/>
          <w:szCs w:val="21"/>
        </w:rPr>
        <w:t>和高度的责任感</w:t>
      </w:r>
      <w:r>
        <w:rPr>
          <w:rFonts w:hint="eastAsia" w:ascii="宋体" w:hAnsi="宋体"/>
          <w:szCs w:val="21"/>
          <w:lang w:eastAsia="zh-CN"/>
        </w:rPr>
        <w:t>，</w:t>
      </w:r>
      <w:r>
        <w:rPr>
          <w:rFonts w:ascii="宋体" w:hAnsi="宋体"/>
          <w:szCs w:val="21"/>
        </w:rPr>
        <w:t>具有分析和决策的能力</w:t>
      </w:r>
      <w:r>
        <w:rPr>
          <w:rFonts w:hint="eastAsia" w:ascii="宋体" w:hAnsi="宋体"/>
          <w:szCs w:val="21"/>
          <w:lang w:eastAsia="zh-CN"/>
        </w:rPr>
        <w:t>，</w:t>
      </w:r>
      <w:r>
        <w:rPr>
          <w:rFonts w:ascii="宋体" w:hAnsi="宋体"/>
          <w:szCs w:val="21"/>
        </w:rPr>
        <w:t>熟悉安全生产规范、操作规程</w:t>
      </w:r>
      <w:r>
        <w:rPr>
          <w:rFonts w:hint="eastAsia" w:ascii="宋体" w:hAnsi="宋体"/>
          <w:szCs w:val="21"/>
          <w:lang w:eastAsia="zh-CN"/>
        </w:rPr>
        <w:t>，</w:t>
      </w:r>
      <w:r>
        <w:rPr>
          <w:rFonts w:hint="eastAsia" w:ascii="宋体" w:hAnsi="宋体"/>
          <w:szCs w:val="21"/>
        </w:rPr>
        <w:t>具有较强的环保理念和农产品安全意识</w:t>
      </w:r>
      <w:r>
        <w:rPr>
          <w:rFonts w:ascii="宋体" w:hAnsi="宋体"/>
          <w:szCs w:val="21"/>
        </w:rPr>
        <w:t>。</w:t>
      </w:r>
    </w:p>
    <w:p>
      <w:pPr>
        <w:spacing w:line="360" w:lineRule="exact"/>
        <w:ind w:firstLine="482" w:firstLineChars="200"/>
        <w:outlineLvl w:val="1"/>
        <w:rPr>
          <w:rFonts w:hint="eastAsia" w:eastAsia="楷体_GB2312"/>
          <w:b/>
          <w:sz w:val="24"/>
        </w:rPr>
      </w:pPr>
    </w:p>
    <w:p>
      <w:pPr>
        <w:spacing w:line="360" w:lineRule="exact"/>
        <w:outlineLvl w:val="1"/>
        <w:rPr>
          <w:rFonts w:hint="eastAsia" w:ascii="宋体" w:hAnsi="宋体"/>
          <w:b/>
          <w:sz w:val="24"/>
        </w:rPr>
      </w:pPr>
      <w:r>
        <w:rPr>
          <w:rFonts w:hint="eastAsia" w:ascii="宋体" w:hAnsi="宋体"/>
          <w:b/>
          <w:sz w:val="24"/>
        </w:rPr>
        <w:t>职业证书</w:t>
      </w:r>
    </w:p>
    <w:p>
      <w:pPr>
        <w:spacing w:line="360" w:lineRule="exact"/>
        <w:ind w:firstLine="420" w:firstLineChars="200"/>
        <w:rPr>
          <w:rFonts w:hint="eastAsia" w:ascii="宋体" w:hAnsi="宋体"/>
          <w:szCs w:val="21"/>
        </w:rPr>
      </w:pPr>
      <w:r>
        <w:rPr>
          <w:rFonts w:hint="eastAsia" w:ascii="宋体" w:hAnsi="宋体"/>
          <w:szCs w:val="21"/>
        </w:rPr>
        <w:t>蔬菜园艺工</w:t>
      </w:r>
      <w:r>
        <w:rPr>
          <w:rFonts w:hint="eastAsia" w:ascii="宋体" w:hAnsi="宋体"/>
          <w:szCs w:val="21"/>
          <w:lang w:eastAsia="zh-CN"/>
        </w:rPr>
        <w:t>、</w:t>
      </w:r>
      <w:r>
        <w:rPr>
          <w:rFonts w:hint="eastAsia" w:ascii="宋体" w:hAnsi="宋体"/>
          <w:szCs w:val="21"/>
        </w:rPr>
        <w:t>果树工</w:t>
      </w:r>
      <w:r>
        <w:rPr>
          <w:rFonts w:hint="eastAsia" w:ascii="宋体" w:hAnsi="宋体"/>
          <w:szCs w:val="21"/>
          <w:lang w:eastAsia="zh-CN"/>
        </w:rPr>
        <w:t>、</w:t>
      </w:r>
      <w:r>
        <w:rPr>
          <w:rFonts w:hint="eastAsia" w:ascii="宋体" w:hAnsi="宋体"/>
          <w:szCs w:val="21"/>
        </w:rPr>
        <w:t>花卉园艺工菌</w:t>
      </w:r>
      <w:r>
        <w:rPr>
          <w:rFonts w:hint="eastAsia" w:ascii="宋体" w:hAnsi="宋体"/>
          <w:szCs w:val="21"/>
          <w:lang w:eastAsia="zh-CN"/>
        </w:rPr>
        <w:t>、</w:t>
      </w:r>
      <w:r>
        <w:rPr>
          <w:rFonts w:hint="eastAsia" w:ascii="宋体" w:hAnsi="宋体"/>
          <w:szCs w:val="21"/>
        </w:rPr>
        <w:t>类园艺工</w:t>
      </w:r>
      <w:r>
        <w:rPr>
          <w:rFonts w:hint="eastAsia" w:ascii="宋体" w:hAnsi="宋体"/>
          <w:szCs w:val="21"/>
          <w:lang w:eastAsia="zh-CN"/>
        </w:rPr>
        <w:t>、</w:t>
      </w:r>
      <w:r>
        <w:rPr>
          <w:rFonts w:hint="eastAsia" w:ascii="宋体" w:hAnsi="宋体"/>
          <w:szCs w:val="21"/>
        </w:rPr>
        <w:t>农业技术推广员</w:t>
      </w:r>
      <w:r>
        <w:rPr>
          <w:rFonts w:hint="eastAsia" w:ascii="宋体" w:hAnsi="宋体"/>
          <w:szCs w:val="21"/>
          <w:lang w:eastAsia="zh-CN"/>
        </w:rPr>
        <w:t>、</w:t>
      </w:r>
      <w:r>
        <w:rPr>
          <w:rFonts w:hint="eastAsia" w:ascii="宋体" w:hAnsi="宋体"/>
          <w:szCs w:val="21"/>
        </w:rPr>
        <w:t>农作物植保</w:t>
      </w:r>
      <w:r>
        <w:rPr>
          <w:rFonts w:hint="eastAsia" w:ascii="宋体" w:hAnsi="宋体"/>
          <w:szCs w:val="21"/>
          <w:lang w:eastAsia="zh-CN"/>
        </w:rPr>
        <w:t>员</w:t>
      </w:r>
      <w:r>
        <w:rPr>
          <w:rFonts w:hint="eastAsia" w:ascii="宋体" w:hAnsi="宋体"/>
          <w:szCs w:val="21"/>
        </w:rPr>
        <w:t>等。</w:t>
      </w:r>
    </w:p>
    <w:p>
      <w:pPr>
        <w:spacing w:line="360" w:lineRule="exact"/>
        <w:ind w:firstLine="482" w:firstLineChars="200"/>
        <w:outlineLvl w:val="1"/>
        <w:rPr>
          <w:rFonts w:hint="eastAsia" w:eastAsia="楷体_GB2312"/>
          <w:b/>
          <w:sz w:val="24"/>
        </w:rPr>
      </w:pPr>
    </w:p>
    <w:p>
      <w:pPr>
        <w:spacing w:line="360" w:lineRule="exact"/>
        <w:outlineLvl w:val="1"/>
        <w:rPr>
          <w:rFonts w:hint="eastAsia" w:ascii="宋体" w:hAnsi="宋体"/>
          <w:b/>
          <w:sz w:val="24"/>
        </w:rPr>
      </w:pPr>
      <w:r>
        <w:rPr>
          <w:rFonts w:hint="eastAsia" w:ascii="宋体" w:hAnsi="宋体"/>
          <w:b/>
          <w:sz w:val="24"/>
        </w:rPr>
        <w:t>课程体系与核心课程</w:t>
      </w:r>
      <w:r>
        <w:rPr>
          <w:rFonts w:hint="eastAsia" w:ascii="宋体" w:hAnsi="宋体"/>
          <w:b/>
          <w:sz w:val="24"/>
          <w:lang w:val="en-US" w:eastAsia="zh-CN"/>
        </w:rPr>
        <w:t>(教学内容)</w:t>
      </w:r>
      <w:r>
        <w:rPr>
          <w:rFonts w:hint="eastAsia" w:ascii="宋体" w:hAnsi="宋体"/>
          <w:b/>
          <w:sz w:val="24"/>
        </w:rPr>
        <w:t xml:space="preserve">   </w:t>
      </w:r>
    </w:p>
    <w:p>
      <w:pPr>
        <w:spacing w:line="360" w:lineRule="exact"/>
        <w:ind w:firstLine="422" w:firstLineChars="200"/>
        <w:jc w:val="left"/>
        <w:rPr>
          <w:rFonts w:hint="eastAsia" w:ascii="宋体" w:hAnsi="宋体"/>
          <w:b/>
          <w:bCs/>
          <w:szCs w:val="21"/>
        </w:rPr>
      </w:pPr>
      <w:r>
        <w:rPr>
          <w:rFonts w:hint="eastAsia" w:ascii="宋体" w:hAnsi="宋体"/>
          <w:b/>
          <w:bCs/>
          <w:szCs w:val="21"/>
        </w:rPr>
        <w:t>一、课程体系构建</w:t>
      </w:r>
    </w:p>
    <w:p>
      <w:pPr>
        <w:spacing w:line="360" w:lineRule="exact"/>
        <w:ind w:firstLine="420" w:firstLineChars="200"/>
        <w:jc w:val="left"/>
        <w:rPr>
          <w:rFonts w:hint="eastAsia" w:ascii="宋体" w:hAnsi="宋体"/>
          <w:szCs w:val="21"/>
        </w:rPr>
      </w:pPr>
      <w:r>
        <w:rPr>
          <w:rFonts w:hint="eastAsia" w:ascii="宋体" w:hAnsi="宋体"/>
          <w:szCs w:val="21"/>
        </w:rPr>
        <w:t>园艺技术专业课程体系由</w:t>
      </w:r>
      <w:r>
        <w:rPr>
          <w:rFonts w:ascii="宋体" w:hAnsi="宋体"/>
          <w:szCs w:val="21"/>
        </w:rPr>
        <w:t>公共学习</w:t>
      </w:r>
      <w:r>
        <w:rPr>
          <w:rFonts w:hint="eastAsia" w:ascii="宋体" w:hAnsi="宋体"/>
          <w:szCs w:val="21"/>
        </w:rPr>
        <w:t>课程、专业</w:t>
      </w:r>
      <w:r>
        <w:rPr>
          <w:rFonts w:ascii="宋体" w:hAnsi="宋体"/>
          <w:szCs w:val="21"/>
        </w:rPr>
        <w:t>学习</w:t>
      </w:r>
      <w:r>
        <w:rPr>
          <w:rFonts w:hint="eastAsia" w:ascii="宋体" w:hAnsi="宋体"/>
          <w:szCs w:val="21"/>
        </w:rPr>
        <w:t>课程、拓展</w:t>
      </w:r>
      <w:r>
        <w:rPr>
          <w:rFonts w:ascii="宋体" w:hAnsi="宋体"/>
          <w:szCs w:val="21"/>
        </w:rPr>
        <w:t>学习</w:t>
      </w:r>
      <w:r>
        <w:rPr>
          <w:rFonts w:hint="eastAsia" w:ascii="宋体" w:hAnsi="宋体"/>
          <w:szCs w:val="21"/>
        </w:rPr>
        <w:t>课程和</w:t>
      </w:r>
      <w:r>
        <w:rPr>
          <w:rFonts w:ascii="宋体" w:hAnsi="宋体"/>
          <w:szCs w:val="21"/>
        </w:rPr>
        <w:t>实践</w:t>
      </w:r>
      <w:r>
        <w:rPr>
          <w:rFonts w:hint="eastAsia" w:ascii="宋体" w:hAnsi="宋体"/>
          <w:szCs w:val="21"/>
        </w:rPr>
        <w:t>学</w:t>
      </w:r>
      <w:r>
        <w:rPr>
          <w:rFonts w:ascii="宋体" w:hAnsi="宋体"/>
          <w:szCs w:val="21"/>
        </w:rPr>
        <w:t>习</w:t>
      </w:r>
      <w:r>
        <w:rPr>
          <w:rFonts w:hint="eastAsia" w:ascii="宋体" w:hAnsi="宋体"/>
          <w:szCs w:val="21"/>
        </w:rPr>
        <w:t>课程四部分构成。</w:t>
      </w:r>
    </w:p>
    <w:p>
      <w:pPr>
        <w:numPr>
          <w:ilvl w:val="0"/>
          <w:numId w:val="1"/>
        </w:numPr>
        <w:spacing w:line="360" w:lineRule="exact"/>
        <w:ind w:firstLine="420" w:firstLineChars="200"/>
        <w:jc w:val="left"/>
        <w:rPr>
          <w:rFonts w:hint="eastAsia" w:ascii="宋体" w:hAnsi="宋体"/>
          <w:szCs w:val="21"/>
        </w:rPr>
      </w:pPr>
      <w:r>
        <w:rPr>
          <w:rFonts w:ascii="宋体" w:hAnsi="宋体"/>
          <w:szCs w:val="21"/>
        </w:rPr>
        <w:t>公共学习</w:t>
      </w:r>
      <w:r>
        <w:rPr>
          <w:rFonts w:hint="eastAsia" w:ascii="宋体" w:hAnsi="宋体"/>
          <w:szCs w:val="21"/>
        </w:rPr>
        <w:t>课程</w:t>
      </w:r>
    </w:p>
    <w:p>
      <w:pPr>
        <w:spacing w:line="360" w:lineRule="exact"/>
        <w:ind w:firstLine="420" w:firstLineChars="200"/>
        <w:jc w:val="left"/>
        <w:rPr>
          <w:rFonts w:ascii="宋体" w:hAnsi="宋体"/>
          <w:szCs w:val="21"/>
        </w:rPr>
      </w:pPr>
      <w:r>
        <w:rPr>
          <w:rFonts w:ascii="宋体" w:hAnsi="宋体"/>
          <w:szCs w:val="21"/>
        </w:rPr>
        <w:t>军训与国防教育</w:t>
      </w:r>
      <w:r>
        <w:rPr>
          <w:rFonts w:hint="eastAsia" w:ascii="宋体" w:hAnsi="宋体"/>
          <w:szCs w:val="21"/>
          <w:lang w:eastAsia="zh-CN"/>
        </w:rPr>
        <w:t>、</w:t>
      </w:r>
      <w:r>
        <w:rPr>
          <w:rFonts w:ascii="宋体" w:hAnsi="宋体"/>
          <w:szCs w:val="21"/>
        </w:rPr>
        <w:t>思想道德</w:t>
      </w:r>
      <w:r>
        <w:rPr>
          <w:rFonts w:hint="eastAsia" w:ascii="宋体" w:hAnsi="宋体"/>
          <w:szCs w:val="21"/>
        </w:rPr>
        <w:t>系列课程</w:t>
      </w:r>
      <w:r>
        <w:rPr>
          <w:rFonts w:hint="eastAsia" w:ascii="宋体" w:hAnsi="宋体"/>
          <w:szCs w:val="21"/>
          <w:lang w:eastAsia="zh-CN"/>
        </w:rPr>
        <w:t>、</w:t>
      </w:r>
      <w:r>
        <w:rPr>
          <w:rFonts w:ascii="宋体" w:hAnsi="宋体"/>
          <w:szCs w:val="21"/>
        </w:rPr>
        <w:t>体育</w:t>
      </w:r>
      <w:r>
        <w:rPr>
          <w:rFonts w:hint="eastAsia" w:ascii="宋体" w:hAnsi="宋体"/>
          <w:szCs w:val="21"/>
          <w:lang w:eastAsia="zh-CN"/>
        </w:rPr>
        <w:t>、</w:t>
      </w:r>
      <w:r>
        <w:rPr>
          <w:rFonts w:ascii="宋体" w:hAnsi="宋体"/>
          <w:szCs w:val="21"/>
        </w:rPr>
        <w:t>健康教育</w:t>
      </w:r>
      <w:r>
        <w:rPr>
          <w:rFonts w:hint="eastAsia" w:ascii="宋体" w:hAnsi="宋体"/>
          <w:szCs w:val="21"/>
          <w:lang w:eastAsia="zh-CN"/>
        </w:rPr>
        <w:t>、</w:t>
      </w:r>
      <w:r>
        <w:rPr>
          <w:rFonts w:ascii="宋体" w:hAnsi="宋体"/>
          <w:szCs w:val="21"/>
        </w:rPr>
        <w:t>就业创业</w:t>
      </w:r>
      <w:r>
        <w:rPr>
          <w:rFonts w:hint="eastAsia" w:ascii="宋体" w:hAnsi="宋体"/>
          <w:szCs w:val="21"/>
        </w:rPr>
        <w:t>系列课</w:t>
      </w:r>
      <w:r>
        <w:rPr>
          <w:rFonts w:hint="eastAsia" w:ascii="宋体" w:hAnsi="宋体"/>
          <w:szCs w:val="21"/>
          <w:lang w:eastAsia="zh-CN"/>
        </w:rPr>
        <w:t>、</w:t>
      </w:r>
      <w:r>
        <w:rPr>
          <w:rFonts w:ascii="宋体" w:hAnsi="宋体"/>
          <w:szCs w:val="21"/>
        </w:rPr>
        <w:t>英语</w:t>
      </w:r>
      <w:r>
        <w:rPr>
          <w:rFonts w:hint="eastAsia" w:ascii="宋体" w:hAnsi="宋体"/>
          <w:szCs w:val="21"/>
          <w:lang w:eastAsia="zh-CN"/>
        </w:rPr>
        <w:t>、</w:t>
      </w:r>
      <w:r>
        <w:rPr>
          <w:rFonts w:ascii="宋体" w:hAnsi="宋体"/>
          <w:szCs w:val="21"/>
        </w:rPr>
        <w:t>计算机应用</w:t>
      </w:r>
      <w:r>
        <w:rPr>
          <w:rFonts w:hint="eastAsia" w:ascii="宋体" w:hAnsi="宋体"/>
          <w:szCs w:val="21"/>
          <w:lang w:eastAsia="zh-CN"/>
        </w:rPr>
        <w:t>、</w:t>
      </w:r>
      <w:r>
        <w:rPr>
          <w:rFonts w:ascii="宋体" w:hAnsi="宋体"/>
          <w:szCs w:val="21"/>
        </w:rPr>
        <w:t>农业应用化学</w:t>
      </w:r>
      <w:r>
        <w:rPr>
          <w:rFonts w:hint="eastAsia" w:ascii="宋体" w:hAnsi="宋体"/>
          <w:szCs w:val="21"/>
          <w:lang w:eastAsia="zh-CN"/>
        </w:rPr>
        <w:t>、</w:t>
      </w:r>
      <w:r>
        <w:rPr>
          <w:rFonts w:ascii="宋体" w:hAnsi="宋体"/>
          <w:szCs w:val="21"/>
        </w:rPr>
        <w:t>实用文体写作</w:t>
      </w:r>
      <w:r>
        <w:rPr>
          <w:rFonts w:hint="eastAsia" w:ascii="宋体" w:hAnsi="宋体"/>
          <w:szCs w:val="21"/>
          <w:lang w:eastAsia="zh-CN"/>
        </w:rPr>
        <w:t>、</w:t>
      </w:r>
      <w:r>
        <w:rPr>
          <w:rFonts w:ascii="宋体" w:hAnsi="宋体"/>
          <w:szCs w:val="21"/>
        </w:rPr>
        <w:t>人文类选修课</w:t>
      </w:r>
      <w:r>
        <w:rPr>
          <w:rFonts w:hint="eastAsia" w:ascii="宋体" w:hAnsi="宋体"/>
          <w:szCs w:val="21"/>
          <w:lang w:eastAsia="zh-CN"/>
        </w:rPr>
        <w:t>等。</w:t>
      </w:r>
    </w:p>
    <w:p>
      <w:pPr>
        <w:numPr>
          <w:ilvl w:val="0"/>
          <w:numId w:val="1"/>
        </w:numPr>
        <w:spacing w:line="360" w:lineRule="exact"/>
        <w:ind w:left="0" w:leftChars="0" w:firstLine="420" w:firstLineChars="200"/>
        <w:jc w:val="left"/>
        <w:rPr>
          <w:rFonts w:hint="eastAsia" w:ascii="宋体" w:hAnsi="宋体"/>
          <w:szCs w:val="21"/>
        </w:rPr>
      </w:pPr>
      <w:r>
        <w:rPr>
          <w:rFonts w:hint="eastAsia" w:ascii="宋体" w:hAnsi="宋体"/>
          <w:szCs w:val="21"/>
        </w:rPr>
        <w:t>专业</w:t>
      </w:r>
      <w:r>
        <w:rPr>
          <w:rFonts w:ascii="宋体" w:hAnsi="宋体"/>
          <w:szCs w:val="21"/>
        </w:rPr>
        <w:t>学习</w:t>
      </w:r>
      <w:r>
        <w:rPr>
          <w:rFonts w:hint="eastAsia" w:ascii="宋体" w:hAnsi="宋体"/>
          <w:szCs w:val="21"/>
        </w:rPr>
        <w:t>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ascii="宋体" w:hAnsi="宋体"/>
          <w:szCs w:val="21"/>
        </w:rPr>
        <w:t>植物生长与环境</w:t>
      </w:r>
      <w:r>
        <w:rPr>
          <w:rFonts w:hint="eastAsia" w:ascii="宋体" w:hAnsi="宋体"/>
          <w:szCs w:val="21"/>
        </w:rPr>
        <w:t>（植物</w:t>
      </w:r>
      <w:r>
        <w:rPr>
          <w:rFonts w:hint="eastAsia" w:ascii="宋体" w:hAnsi="宋体"/>
          <w:szCs w:val="21"/>
          <w:lang w:eastAsia="zh-CN"/>
        </w:rPr>
        <w:t>、</w:t>
      </w:r>
      <w:r>
        <w:rPr>
          <w:rFonts w:hint="eastAsia" w:ascii="宋体" w:hAnsi="宋体"/>
          <w:szCs w:val="21"/>
        </w:rPr>
        <w:t>生理</w:t>
      </w:r>
      <w:r>
        <w:rPr>
          <w:rFonts w:hint="eastAsia" w:ascii="宋体" w:hAnsi="宋体"/>
          <w:szCs w:val="21"/>
          <w:lang w:eastAsia="zh-CN"/>
        </w:rPr>
        <w:t>、</w:t>
      </w:r>
      <w:r>
        <w:rPr>
          <w:rFonts w:hint="eastAsia" w:ascii="宋体" w:hAnsi="宋体"/>
          <w:szCs w:val="21"/>
        </w:rPr>
        <w:t>土壤</w:t>
      </w:r>
      <w:r>
        <w:rPr>
          <w:rFonts w:hint="eastAsia" w:ascii="宋体" w:hAnsi="宋体"/>
          <w:szCs w:val="21"/>
          <w:lang w:eastAsia="zh-CN"/>
        </w:rPr>
        <w:t>、</w:t>
      </w:r>
      <w:r>
        <w:rPr>
          <w:rFonts w:hint="eastAsia" w:ascii="宋体" w:hAnsi="宋体"/>
          <w:szCs w:val="21"/>
        </w:rPr>
        <w:t>肥料</w:t>
      </w:r>
      <w:r>
        <w:rPr>
          <w:rFonts w:hint="eastAsia" w:ascii="宋体" w:hAnsi="宋体"/>
          <w:szCs w:val="21"/>
          <w:lang w:eastAsia="zh-CN"/>
        </w:rPr>
        <w:t>、</w:t>
      </w:r>
      <w:r>
        <w:rPr>
          <w:rFonts w:hint="eastAsia" w:ascii="宋体" w:hAnsi="宋体"/>
          <w:szCs w:val="21"/>
        </w:rPr>
        <w:t>气象），</w:t>
      </w:r>
      <w:r>
        <w:rPr>
          <w:rFonts w:ascii="宋体" w:hAnsi="宋体"/>
          <w:szCs w:val="21"/>
        </w:rPr>
        <w:t>蔬菜栽培</w:t>
      </w:r>
      <w:r>
        <w:rPr>
          <w:rFonts w:hint="eastAsia" w:ascii="宋体" w:hAnsi="宋体"/>
          <w:szCs w:val="21"/>
          <w:lang w:eastAsia="zh-CN"/>
        </w:rPr>
        <w:t>、</w:t>
      </w:r>
      <w:r>
        <w:rPr>
          <w:rFonts w:ascii="宋体" w:hAnsi="宋体"/>
          <w:szCs w:val="21"/>
        </w:rPr>
        <w:t>果树栽培</w:t>
      </w:r>
      <w:r>
        <w:rPr>
          <w:rFonts w:hint="eastAsia" w:ascii="宋体" w:hAnsi="宋体"/>
          <w:szCs w:val="21"/>
          <w:lang w:eastAsia="zh-CN"/>
        </w:rPr>
        <w:t>，</w:t>
      </w:r>
      <w:r>
        <w:rPr>
          <w:rFonts w:ascii="宋体" w:hAnsi="宋体"/>
          <w:szCs w:val="21"/>
        </w:rPr>
        <w:t>园</w:t>
      </w:r>
      <w:r>
        <w:rPr>
          <w:rFonts w:hint="eastAsia" w:ascii="宋体" w:hAnsi="宋体"/>
          <w:szCs w:val="21"/>
          <w:lang w:eastAsia="zh-CN"/>
        </w:rPr>
        <w:t>艺设施，林果</w:t>
      </w:r>
      <w:r>
        <w:rPr>
          <w:rFonts w:ascii="宋体" w:hAnsi="宋体"/>
          <w:szCs w:val="21"/>
        </w:rPr>
        <w:t>苗</w:t>
      </w:r>
      <w:r>
        <w:rPr>
          <w:rFonts w:hint="eastAsia" w:ascii="宋体" w:hAnsi="宋体"/>
          <w:szCs w:val="21"/>
          <w:lang w:eastAsia="zh-CN"/>
        </w:rPr>
        <w:t>木生</w:t>
      </w:r>
      <w:r>
        <w:rPr>
          <w:rFonts w:ascii="宋体" w:hAnsi="宋体"/>
          <w:szCs w:val="21"/>
        </w:rPr>
        <w:t>产</w:t>
      </w:r>
      <w:r>
        <w:rPr>
          <w:rFonts w:hint="eastAsia" w:ascii="宋体" w:hAnsi="宋体"/>
          <w:szCs w:val="21"/>
          <w:lang w:eastAsia="zh-CN"/>
        </w:rPr>
        <w:t>，蔬菜、花卉</w:t>
      </w:r>
      <w:r>
        <w:rPr>
          <w:rFonts w:ascii="宋体" w:hAnsi="宋体"/>
          <w:szCs w:val="21"/>
        </w:rPr>
        <w:t>种子生产</w:t>
      </w:r>
      <w:r>
        <w:rPr>
          <w:rFonts w:hint="eastAsia" w:ascii="宋体" w:hAnsi="宋体"/>
          <w:szCs w:val="21"/>
        </w:rPr>
        <w:t>，</w:t>
      </w:r>
      <w:r>
        <w:rPr>
          <w:rFonts w:ascii="宋体" w:hAnsi="宋体"/>
          <w:szCs w:val="21"/>
        </w:rPr>
        <w:t>园艺植物遗传</w:t>
      </w:r>
      <w:r>
        <w:rPr>
          <w:rFonts w:hint="eastAsia" w:ascii="宋体" w:hAnsi="宋体"/>
          <w:szCs w:val="21"/>
          <w:lang w:eastAsia="zh-CN"/>
        </w:rPr>
        <w:t>与</w:t>
      </w:r>
      <w:r>
        <w:rPr>
          <w:rFonts w:ascii="宋体" w:hAnsi="宋体"/>
          <w:szCs w:val="21"/>
        </w:rPr>
        <w:t>育种</w:t>
      </w:r>
      <w:r>
        <w:rPr>
          <w:rFonts w:hint="eastAsia" w:ascii="宋体" w:hAnsi="宋体"/>
          <w:szCs w:val="21"/>
        </w:rPr>
        <w:t>，</w:t>
      </w:r>
      <w:r>
        <w:rPr>
          <w:rFonts w:ascii="宋体" w:hAnsi="宋体"/>
          <w:szCs w:val="21"/>
        </w:rPr>
        <w:t>田间试验与统计分析</w:t>
      </w:r>
      <w:r>
        <w:rPr>
          <w:rFonts w:hint="eastAsia" w:ascii="宋体" w:hAnsi="宋体"/>
          <w:szCs w:val="21"/>
        </w:rPr>
        <w:t>，</w:t>
      </w:r>
      <w:r>
        <w:rPr>
          <w:rFonts w:ascii="宋体" w:hAnsi="宋体"/>
          <w:szCs w:val="21"/>
        </w:rPr>
        <w:t>花卉栽培</w:t>
      </w:r>
      <w:r>
        <w:rPr>
          <w:rFonts w:hint="eastAsia" w:ascii="宋体" w:hAnsi="宋体"/>
          <w:szCs w:val="21"/>
        </w:rPr>
        <w:t>，</w:t>
      </w:r>
      <w:r>
        <w:rPr>
          <w:rFonts w:ascii="宋体" w:hAnsi="宋体"/>
          <w:szCs w:val="21"/>
        </w:rPr>
        <w:t>园艺植物病虫害防治</w:t>
      </w:r>
      <w:r>
        <w:rPr>
          <w:rFonts w:hint="eastAsia" w:ascii="宋体" w:hAnsi="宋体"/>
          <w:szCs w:val="21"/>
        </w:rPr>
        <w:t>，园艺产品质量安全检测与分析，园艺产品</w:t>
      </w:r>
      <w:r>
        <w:rPr>
          <w:rFonts w:hint="eastAsia" w:ascii="宋体" w:hAnsi="宋体"/>
          <w:szCs w:val="21"/>
          <w:lang w:eastAsia="zh-CN"/>
        </w:rPr>
        <w:t>储</w:t>
      </w:r>
      <w:r>
        <w:rPr>
          <w:rFonts w:hint="eastAsia" w:ascii="宋体" w:hAnsi="宋体"/>
          <w:szCs w:val="21"/>
        </w:rPr>
        <w:t>藏保鲜加工技术</w:t>
      </w:r>
      <w:r>
        <w:rPr>
          <w:rFonts w:hint="eastAsia" w:ascii="宋体" w:hAnsi="宋体"/>
          <w:szCs w:val="21"/>
          <w:lang w:eastAsia="zh-CN"/>
        </w:rPr>
        <w:t>、企业经营理。</w:t>
      </w:r>
    </w:p>
    <w:p>
      <w:pPr>
        <w:numPr>
          <w:ilvl w:val="0"/>
          <w:numId w:val="0"/>
        </w:numPr>
        <w:spacing w:line="360" w:lineRule="exact"/>
        <w:ind w:firstLine="420" w:firstLineChars="200"/>
        <w:jc w:val="both"/>
        <w:rPr>
          <w:rFonts w:hint="eastAsia" w:ascii="宋体" w:hAnsi="宋体"/>
          <w:szCs w:val="21"/>
        </w:rPr>
      </w:pPr>
      <w:r>
        <w:rPr>
          <w:rFonts w:hint="eastAsia" w:ascii="宋体" w:hAnsi="宋体"/>
          <w:szCs w:val="21"/>
          <w:lang w:eastAsia="zh-CN"/>
        </w:rPr>
        <w:t>（三）</w:t>
      </w:r>
      <w:r>
        <w:rPr>
          <w:rFonts w:hint="eastAsia" w:ascii="宋体" w:hAnsi="宋体"/>
          <w:szCs w:val="21"/>
        </w:rPr>
        <w:t>拓展</w:t>
      </w:r>
      <w:r>
        <w:rPr>
          <w:rFonts w:ascii="宋体" w:hAnsi="宋体"/>
          <w:szCs w:val="21"/>
        </w:rPr>
        <w:t>学习</w:t>
      </w:r>
      <w:r>
        <w:rPr>
          <w:rFonts w:hint="eastAsia" w:ascii="宋体" w:hAnsi="宋体"/>
          <w:szCs w:val="21"/>
        </w:rPr>
        <w:t>课程</w:t>
      </w:r>
    </w:p>
    <w:p>
      <w:pPr>
        <w:numPr>
          <w:ilvl w:val="0"/>
          <w:numId w:val="0"/>
        </w:numPr>
        <w:spacing w:line="360" w:lineRule="exact"/>
        <w:ind w:leftChars="0" w:firstLine="420" w:firstLineChars="200"/>
        <w:rPr>
          <w:rFonts w:hint="eastAsia" w:ascii="宋体" w:hAnsi="宋体"/>
          <w:szCs w:val="21"/>
        </w:rPr>
      </w:pPr>
      <w:r>
        <w:rPr>
          <w:rFonts w:ascii="宋体" w:hAnsi="宋体"/>
          <w:szCs w:val="21"/>
        </w:rPr>
        <w:t>市场营销</w:t>
      </w:r>
      <w:r>
        <w:rPr>
          <w:rFonts w:hint="eastAsia" w:ascii="宋体" w:hAnsi="宋体"/>
          <w:szCs w:val="21"/>
          <w:lang w:eastAsia="zh-CN"/>
        </w:rPr>
        <w:t>、植物</w:t>
      </w:r>
      <w:r>
        <w:rPr>
          <w:rFonts w:ascii="宋体" w:hAnsi="宋体"/>
          <w:szCs w:val="21"/>
        </w:rPr>
        <w:t>组织培养</w:t>
      </w:r>
      <w:r>
        <w:rPr>
          <w:rFonts w:hint="eastAsia" w:ascii="宋体" w:hAnsi="宋体"/>
          <w:szCs w:val="21"/>
          <w:lang w:eastAsia="zh-CN"/>
        </w:rPr>
        <w:t>、</w:t>
      </w:r>
      <w:r>
        <w:rPr>
          <w:rFonts w:ascii="宋体" w:hAnsi="宋体"/>
          <w:szCs w:val="21"/>
        </w:rPr>
        <w:t>稀特蔬菜栽培技术</w:t>
      </w:r>
      <w:r>
        <w:rPr>
          <w:rFonts w:hint="eastAsia" w:ascii="宋体" w:hAnsi="宋体"/>
          <w:szCs w:val="21"/>
          <w:lang w:eastAsia="zh-CN"/>
        </w:rPr>
        <w:t>、</w:t>
      </w:r>
      <w:r>
        <w:rPr>
          <w:rFonts w:ascii="宋体" w:hAnsi="宋体"/>
          <w:szCs w:val="21"/>
        </w:rPr>
        <w:t>无土栽培</w:t>
      </w:r>
      <w:r>
        <w:rPr>
          <w:rFonts w:hint="eastAsia" w:ascii="宋体" w:hAnsi="宋体"/>
          <w:szCs w:val="21"/>
          <w:lang w:eastAsia="zh-CN"/>
        </w:rPr>
        <w:t>、</w:t>
      </w:r>
      <w:r>
        <w:rPr>
          <w:rFonts w:ascii="宋体" w:hAnsi="宋体"/>
          <w:szCs w:val="21"/>
        </w:rPr>
        <w:t>食用菌生产技术</w:t>
      </w:r>
      <w:r>
        <w:rPr>
          <w:rFonts w:hint="eastAsia" w:ascii="宋体" w:hAnsi="宋体"/>
          <w:szCs w:val="21"/>
          <w:lang w:eastAsia="zh-CN"/>
        </w:rPr>
        <w:t>、</w:t>
      </w:r>
      <w:r>
        <w:rPr>
          <w:rFonts w:ascii="宋体" w:hAnsi="宋体"/>
          <w:szCs w:val="21"/>
        </w:rPr>
        <w:t>测量技术</w:t>
      </w:r>
      <w:r>
        <w:rPr>
          <w:rFonts w:hint="eastAsia" w:ascii="宋体" w:hAnsi="宋体"/>
          <w:szCs w:val="21"/>
          <w:lang w:eastAsia="zh-CN"/>
        </w:rPr>
        <w:t>、</w:t>
      </w:r>
      <w:r>
        <w:rPr>
          <w:rFonts w:hint="eastAsia" w:ascii="宋体" w:hAnsi="宋体"/>
          <w:szCs w:val="21"/>
        </w:rPr>
        <w:t>农业生态与环境保护</w:t>
      </w:r>
      <w:r>
        <w:rPr>
          <w:rFonts w:hint="eastAsia" w:ascii="宋体" w:hAnsi="宋体"/>
          <w:szCs w:val="21"/>
          <w:lang w:eastAsia="zh-CN"/>
        </w:rPr>
        <w:t>、</w:t>
      </w:r>
      <w:r>
        <w:rPr>
          <w:rFonts w:hint="eastAsia" w:ascii="宋体" w:hAnsi="宋体"/>
          <w:szCs w:val="21"/>
        </w:rPr>
        <w:t>农产品安全生产</w:t>
      </w:r>
      <w:r>
        <w:rPr>
          <w:rFonts w:hint="eastAsia" w:ascii="宋体" w:hAnsi="宋体"/>
          <w:szCs w:val="21"/>
          <w:lang w:eastAsia="zh-CN"/>
        </w:rPr>
        <w:t>、</w:t>
      </w:r>
      <w:r>
        <w:rPr>
          <w:rFonts w:hint="eastAsia" w:ascii="宋体" w:hAnsi="宋体"/>
          <w:szCs w:val="21"/>
        </w:rPr>
        <w:t>农业法律法规</w:t>
      </w:r>
      <w:r>
        <w:rPr>
          <w:rFonts w:hint="eastAsia" w:ascii="宋体" w:hAnsi="宋体"/>
          <w:szCs w:val="21"/>
          <w:lang w:eastAsia="zh-CN"/>
        </w:rPr>
        <w:t>、农业技术推广、插画与花艺装饰。</w:t>
      </w:r>
    </w:p>
    <w:p>
      <w:pPr>
        <w:numPr>
          <w:ilvl w:val="0"/>
          <w:numId w:val="0"/>
        </w:numPr>
        <w:spacing w:line="360" w:lineRule="exact"/>
        <w:ind w:leftChars="200"/>
        <w:rPr>
          <w:rFonts w:hint="eastAsia" w:ascii="宋体" w:hAnsi="宋体"/>
          <w:szCs w:val="21"/>
        </w:rPr>
      </w:pPr>
      <w:r>
        <w:rPr>
          <w:rFonts w:hint="eastAsia" w:ascii="宋体" w:hAnsi="宋体"/>
          <w:szCs w:val="21"/>
          <w:lang w:eastAsia="zh-CN"/>
        </w:rPr>
        <w:t>（四）</w:t>
      </w:r>
      <w:r>
        <w:rPr>
          <w:rFonts w:ascii="宋体" w:hAnsi="宋体"/>
          <w:szCs w:val="21"/>
        </w:rPr>
        <w:t>实践</w:t>
      </w:r>
      <w:r>
        <w:rPr>
          <w:rFonts w:hint="eastAsia" w:ascii="宋体" w:hAnsi="宋体"/>
          <w:szCs w:val="21"/>
        </w:rPr>
        <w:t>学</w:t>
      </w:r>
      <w:r>
        <w:rPr>
          <w:rFonts w:ascii="宋体" w:hAnsi="宋体"/>
          <w:szCs w:val="21"/>
        </w:rPr>
        <w:t>习</w:t>
      </w:r>
      <w:r>
        <w:rPr>
          <w:rFonts w:hint="eastAsia" w:ascii="宋体" w:hAnsi="宋体"/>
          <w:szCs w:val="21"/>
        </w:rPr>
        <w:t>课程</w:t>
      </w:r>
    </w:p>
    <w:p>
      <w:pPr>
        <w:numPr>
          <w:ilvl w:val="0"/>
          <w:numId w:val="0"/>
        </w:numPr>
        <w:spacing w:line="360" w:lineRule="exact"/>
        <w:ind w:firstLine="420" w:firstLineChars="200"/>
        <w:rPr>
          <w:rFonts w:hint="eastAsia" w:ascii="宋体" w:hAnsi="宋体"/>
          <w:szCs w:val="21"/>
        </w:rPr>
      </w:pPr>
      <w:r>
        <w:rPr>
          <w:rFonts w:ascii="宋体" w:hAnsi="宋体"/>
          <w:szCs w:val="21"/>
        </w:rPr>
        <w:t>专业综合</w:t>
      </w:r>
      <w:r>
        <w:rPr>
          <w:rFonts w:hint="eastAsia" w:ascii="宋体" w:hAnsi="宋体"/>
          <w:szCs w:val="21"/>
        </w:rPr>
        <w:t>实训</w:t>
      </w:r>
      <w:r>
        <w:rPr>
          <w:rFonts w:hint="eastAsia" w:ascii="宋体" w:hAnsi="宋体"/>
          <w:szCs w:val="21"/>
          <w:lang w:eastAsia="zh-CN"/>
        </w:rPr>
        <w:t>、</w:t>
      </w:r>
      <w:r>
        <w:rPr>
          <w:rFonts w:hint="eastAsia" w:ascii="宋体" w:hAnsi="宋体"/>
          <w:szCs w:val="21"/>
        </w:rPr>
        <w:t>企业顶岗实习</w:t>
      </w:r>
      <w:r>
        <w:rPr>
          <w:rFonts w:hint="eastAsia" w:ascii="宋体" w:hAnsi="宋体"/>
          <w:szCs w:val="21"/>
          <w:lang w:eastAsia="zh-CN"/>
        </w:rPr>
        <w:t>、</w:t>
      </w:r>
      <w:r>
        <w:rPr>
          <w:rFonts w:ascii="宋体" w:hAnsi="宋体"/>
          <w:szCs w:val="21"/>
        </w:rPr>
        <w:t>毕业论文</w:t>
      </w:r>
      <w:r>
        <w:rPr>
          <w:rFonts w:hint="eastAsia" w:ascii="宋体" w:hAnsi="宋体"/>
          <w:szCs w:val="21"/>
        </w:rPr>
        <w:t>。</w:t>
      </w:r>
      <w:r>
        <w:rPr>
          <w:rFonts w:ascii="宋体" w:hAnsi="宋体"/>
          <w:szCs w:val="21"/>
        </w:rPr>
        <w:t>专业综合</w:t>
      </w:r>
      <w:r>
        <w:rPr>
          <w:rFonts w:hint="eastAsia" w:ascii="宋体" w:hAnsi="宋体"/>
          <w:szCs w:val="21"/>
        </w:rPr>
        <w:t>实训20周，企业顶岗实习不得少于半年。</w:t>
      </w:r>
    </w:p>
    <w:p>
      <w:pPr>
        <w:spacing w:line="360" w:lineRule="exact"/>
        <w:ind w:firstLine="420" w:firstLineChars="200"/>
        <w:rPr>
          <w:rFonts w:hint="eastAsia" w:ascii="宋体" w:hAnsi="宋体"/>
          <w:szCs w:val="21"/>
        </w:rPr>
      </w:pPr>
      <w:r>
        <w:rPr>
          <w:rFonts w:hint="eastAsia" w:ascii="宋体" w:hAnsi="宋体"/>
          <w:szCs w:val="21"/>
        </w:rPr>
        <w:t>全学程理论授课20学时为1学分，实践学习课程1周为1学分。</w:t>
      </w:r>
      <w:r>
        <w:rPr>
          <w:rFonts w:ascii="宋体" w:hAnsi="宋体"/>
          <w:szCs w:val="21"/>
        </w:rPr>
        <w:t>各类课程学</w:t>
      </w:r>
      <w:r>
        <w:rPr>
          <w:rFonts w:hint="eastAsia" w:ascii="宋体" w:hAnsi="宋体"/>
          <w:szCs w:val="21"/>
          <w:lang w:eastAsia="zh-CN"/>
        </w:rPr>
        <w:t>时数</w:t>
      </w:r>
      <w:r>
        <w:rPr>
          <w:rFonts w:ascii="宋体" w:hAnsi="宋体"/>
          <w:szCs w:val="21"/>
        </w:rPr>
        <w:t>与学</w:t>
      </w:r>
      <w:r>
        <w:rPr>
          <w:rFonts w:hint="eastAsia" w:ascii="宋体" w:hAnsi="宋体"/>
          <w:szCs w:val="21"/>
          <w:lang w:eastAsia="zh-CN"/>
        </w:rPr>
        <w:t>分</w:t>
      </w:r>
      <w:r>
        <w:rPr>
          <w:rFonts w:ascii="宋体" w:hAnsi="宋体"/>
          <w:szCs w:val="21"/>
        </w:rPr>
        <w:t>的分配</w:t>
      </w:r>
      <w:r>
        <w:rPr>
          <w:rFonts w:hint="eastAsia" w:ascii="宋体" w:hAnsi="宋体"/>
          <w:szCs w:val="21"/>
          <w:lang w:eastAsia="zh-CN"/>
        </w:rPr>
        <w:t>建议</w:t>
      </w:r>
      <w:r>
        <w:rPr>
          <w:rFonts w:ascii="宋体" w:hAnsi="宋体"/>
          <w:szCs w:val="21"/>
        </w:rPr>
        <w:t>比例</w:t>
      </w:r>
      <w:r>
        <w:rPr>
          <w:rFonts w:hint="eastAsia" w:ascii="宋体" w:hAnsi="宋体"/>
          <w:szCs w:val="21"/>
          <w:lang w:eastAsia="zh-CN"/>
        </w:rPr>
        <w:t>如</w:t>
      </w:r>
      <w:r>
        <w:rPr>
          <w:rFonts w:hint="eastAsia" w:ascii="宋体" w:hAnsi="宋体"/>
          <w:szCs w:val="21"/>
        </w:rPr>
        <w:t>见表1</w:t>
      </w:r>
      <w:r>
        <w:rPr>
          <w:rFonts w:hint="eastAsia" w:ascii="宋体" w:hAnsi="宋体"/>
          <w:szCs w:val="21"/>
          <w:lang w:eastAsia="zh-CN"/>
        </w:rPr>
        <w:t>所示</w:t>
      </w:r>
      <w:r>
        <w:rPr>
          <w:rFonts w:hint="eastAsia" w:ascii="宋体" w:hAnsi="宋体"/>
          <w:szCs w:val="21"/>
        </w:rPr>
        <w:t>。</w:t>
      </w:r>
    </w:p>
    <w:p>
      <w:pPr>
        <w:keepNext w:val="0"/>
        <w:keepLines w:val="0"/>
        <w:pageBreakBefore w:val="0"/>
        <w:widowControl w:val="0"/>
        <w:tabs>
          <w:tab w:val="left" w:pos="-4472"/>
        </w:tabs>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eastAsia="黑体"/>
          <w:b/>
          <w:bCs/>
          <w:sz w:val="21"/>
          <w:szCs w:val="21"/>
        </w:rPr>
      </w:pPr>
      <w:r>
        <w:rPr>
          <w:rFonts w:eastAsia="黑体"/>
          <w:b/>
          <w:bCs/>
          <w:sz w:val="21"/>
          <w:szCs w:val="21"/>
        </w:rPr>
        <w:t>表1  各类课程学时数与学分的分配</w:t>
      </w:r>
      <w:r>
        <w:rPr>
          <w:rFonts w:hint="eastAsia" w:eastAsia="黑体"/>
          <w:b/>
          <w:bCs/>
          <w:sz w:val="21"/>
          <w:szCs w:val="21"/>
        </w:rPr>
        <w:t>建议</w:t>
      </w:r>
      <w:r>
        <w:rPr>
          <w:rFonts w:eastAsia="黑体"/>
          <w:b/>
          <w:bCs/>
          <w:sz w:val="21"/>
          <w:szCs w:val="21"/>
        </w:rPr>
        <w:t>比例</w:t>
      </w:r>
    </w:p>
    <w:tbl>
      <w:tblPr>
        <w:tblStyle w:val="3"/>
        <w:tblW w:w="91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488"/>
        <w:gridCol w:w="452"/>
        <w:gridCol w:w="4939"/>
        <w:gridCol w:w="1059"/>
        <w:gridCol w:w="1122"/>
        <w:gridCol w:w="10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5879" w:type="dxa"/>
            <w:gridSpan w:val="3"/>
            <w:vAlign w:val="center"/>
          </w:tcPr>
          <w:p>
            <w:pPr>
              <w:spacing w:line="320" w:lineRule="exact"/>
              <w:jc w:val="center"/>
              <w:rPr>
                <w:bCs/>
                <w:sz w:val="18"/>
                <w:szCs w:val="18"/>
              </w:rPr>
            </w:pPr>
            <w:r>
              <w:rPr>
                <w:bCs/>
                <w:sz w:val="18"/>
                <w:szCs w:val="18"/>
              </w:rPr>
              <w:t>课  程  类  别</w:t>
            </w:r>
          </w:p>
        </w:tc>
        <w:tc>
          <w:tcPr>
            <w:tcW w:w="1059" w:type="dxa"/>
            <w:vAlign w:val="center"/>
          </w:tcPr>
          <w:p>
            <w:pPr>
              <w:spacing w:line="320" w:lineRule="exact"/>
              <w:jc w:val="center"/>
              <w:rPr>
                <w:bCs/>
                <w:sz w:val="18"/>
                <w:szCs w:val="18"/>
              </w:rPr>
            </w:pPr>
            <w:r>
              <w:rPr>
                <w:bCs/>
                <w:sz w:val="18"/>
                <w:szCs w:val="18"/>
              </w:rPr>
              <w:t>建议学时</w:t>
            </w:r>
          </w:p>
        </w:tc>
        <w:tc>
          <w:tcPr>
            <w:tcW w:w="1122" w:type="dxa"/>
            <w:vAlign w:val="center"/>
          </w:tcPr>
          <w:p>
            <w:pPr>
              <w:spacing w:line="320" w:lineRule="exact"/>
              <w:jc w:val="center"/>
              <w:rPr>
                <w:bCs/>
                <w:sz w:val="18"/>
                <w:szCs w:val="18"/>
              </w:rPr>
            </w:pPr>
            <w:r>
              <w:rPr>
                <w:bCs/>
                <w:sz w:val="18"/>
                <w:szCs w:val="18"/>
              </w:rPr>
              <w:t>建议学分</w:t>
            </w:r>
          </w:p>
        </w:tc>
        <w:tc>
          <w:tcPr>
            <w:tcW w:w="1077" w:type="dxa"/>
            <w:vAlign w:val="center"/>
          </w:tcPr>
          <w:p>
            <w:pPr>
              <w:spacing w:line="320" w:lineRule="exact"/>
              <w:jc w:val="center"/>
              <w:rPr>
                <w:sz w:val="18"/>
                <w:szCs w:val="18"/>
              </w:rPr>
            </w:pPr>
            <w:r>
              <w:rPr>
                <w:sz w:val="18"/>
                <w:szCs w:val="18"/>
              </w:rPr>
              <w:t>所占比例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w:t>
            </w:r>
          </w:p>
        </w:tc>
        <w:tc>
          <w:tcPr>
            <w:tcW w:w="452" w:type="dxa"/>
            <w:vMerge w:val="restart"/>
            <w:vAlign w:val="center"/>
          </w:tcPr>
          <w:p>
            <w:pPr>
              <w:spacing w:line="320" w:lineRule="exact"/>
              <w:jc w:val="center"/>
              <w:rPr>
                <w:rFonts w:hint="eastAsia"/>
                <w:sz w:val="18"/>
                <w:szCs w:val="18"/>
              </w:rPr>
            </w:pPr>
            <w:r>
              <w:rPr>
                <w:sz w:val="18"/>
                <w:szCs w:val="18"/>
              </w:rPr>
              <w:t>公共学习</w:t>
            </w:r>
            <w:r>
              <w:rPr>
                <w:rFonts w:hint="eastAsia"/>
                <w:sz w:val="18"/>
                <w:szCs w:val="18"/>
              </w:rPr>
              <w:t>课程</w:t>
            </w:r>
          </w:p>
        </w:tc>
        <w:tc>
          <w:tcPr>
            <w:tcW w:w="4939" w:type="dxa"/>
            <w:vAlign w:val="center"/>
          </w:tcPr>
          <w:p>
            <w:pPr>
              <w:spacing w:line="320" w:lineRule="exact"/>
              <w:rPr>
                <w:sz w:val="18"/>
                <w:szCs w:val="18"/>
              </w:rPr>
            </w:pPr>
            <w:r>
              <w:rPr>
                <w:sz w:val="18"/>
                <w:szCs w:val="18"/>
              </w:rPr>
              <w:t>军训与国防教育</w:t>
            </w:r>
          </w:p>
        </w:tc>
        <w:tc>
          <w:tcPr>
            <w:tcW w:w="1059" w:type="dxa"/>
            <w:vAlign w:val="center"/>
          </w:tcPr>
          <w:p>
            <w:pPr>
              <w:spacing w:line="320" w:lineRule="exact"/>
              <w:jc w:val="center"/>
              <w:rPr>
                <w:sz w:val="18"/>
                <w:szCs w:val="18"/>
              </w:rPr>
            </w:pPr>
            <w:r>
              <w:rPr>
                <w:sz w:val="18"/>
                <w:szCs w:val="18"/>
              </w:rPr>
              <w:t>2.0周</w:t>
            </w:r>
          </w:p>
        </w:tc>
        <w:tc>
          <w:tcPr>
            <w:tcW w:w="1122" w:type="dxa"/>
            <w:vAlign w:val="center"/>
          </w:tcPr>
          <w:p>
            <w:pPr>
              <w:spacing w:line="320" w:lineRule="exact"/>
              <w:jc w:val="center"/>
              <w:rPr>
                <w:rFonts w:hint="eastAsia"/>
                <w:sz w:val="18"/>
                <w:szCs w:val="18"/>
              </w:rPr>
            </w:pPr>
            <w:r>
              <w:rPr>
                <w:rFonts w:hint="eastAsia"/>
                <w:sz w:val="18"/>
                <w:szCs w:val="18"/>
              </w:rPr>
              <w:t>（</w:t>
            </w:r>
            <w:r>
              <w:rPr>
                <w:sz w:val="18"/>
                <w:szCs w:val="18"/>
              </w:rPr>
              <w:t>2.0</w:t>
            </w:r>
            <w:r>
              <w:rPr>
                <w:rFonts w:hint="eastAsia"/>
                <w:sz w:val="18"/>
                <w:szCs w:val="18"/>
              </w:rPr>
              <w:t>）</w:t>
            </w:r>
          </w:p>
        </w:tc>
        <w:tc>
          <w:tcPr>
            <w:tcW w:w="1077" w:type="dxa"/>
            <w:vMerge w:val="restart"/>
            <w:vAlign w:val="center"/>
          </w:tcPr>
          <w:p>
            <w:pPr>
              <w:spacing w:line="320" w:lineRule="exact"/>
              <w:jc w:val="center"/>
              <w:rPr>
                <w:rFonts w:hint="eastAsia"/>
                <w:sz w:val="18"/>
                <w:szCs w:val="18"/>
              </w:rPr>
            </w:pPr>
            <w:r>
              <w:rPr>
                <w:sz w:val="18"/>
                <w:szCs w:val="18"/>
              </w:rPr>
              <w:t>建议学时包括知识传授与技能培训</w:t>
            </w:r>
            <w:r>
              <w:rPr>
                <w:rFonts w:hint="eastAsia"/>
                <w:sz w:val="18"/>
                <w:szCs w:val="18"/>
                <w:lang w:eastAsia="zh-CN"/>
              </w:rPr>
              <w:t>两</w:t>
            </w:r>
            <w:r>
              <w:rPr>
                <w:sz w:val="18"/>
                <w:szCs w:val="18"/>
              </w:rPr>
              <w:t>部分，技能培训所占比例</w:t>
            </w:r>
            <w:r>
              <w:rPr>
                <w:rFonts w:hint="eastAsia"/>
                <w:sz w:val="18"/>
                <w:szCs w:val="18"/>
              </w:rPr>
              <w:t>在30%以上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思想道德系列</w:t>
            </w:r>
            <w:r>
              <w:rPr>
                <w:rFonts w:hint="eastAsia"/>
                <w:sz w:val="18"/>
                <w:szCs w:val="18"/>
                <w:lang w:eastAsia="zh-CN"/>
              </w:rPr>
              <w:t>课程</w:t>
            </w:r>
          </w:p>
        </w:tc>
        <w:tc>
          <w:tcPr>
            <w:tcW w:w="1059" w:type="dxa"/>
            <w:vAlign w:val="center"/>
          </w:tcPr>
          <w:p>
            <w:pPr>
              <w:spacing w:line="320" w:lineRule="exact"/>
              <w:jc w:val="center"/>
              <w:rPr>
                <w:sz w:val="18"/>
                <w:szCs w:val="18"/>
              </w:rPr>
            </w:pPr>
            <w:r>
              <w:rPr>
                <w:sz w:val="18"/>
                <w:szCs w:val="18"/>
              </w:rPr>
              <w:t>1</w:t>
            </w:r>
            <w:r>
              <w:rPr>
                <w:rFonts w:hint="eastAsia"/>
                <w:sz w:val="18"/>
                <w:szCs w:val="18"/>
              </w:rPr>
              <w:t>0</w:t>
            </w:r>
            <w:r>
              <w:rPr>
                <w:sz w:val="18"/>
                <w:szCs w:val="18"/>
              </w:rPr>
              <w:t>0</w:t>
            </w:r>
          </w:p>
        </w:tc>
        <w:tc>
          <w:tcPr>
            <w:tcW w:w="1122" w:type="dxa"/>
            <w:vAlign w:val="center"/>
          </w:tcPr>
          <w:p>
            <w:pPr>
              <w:spacing w:line="320" w:lineRule="exact"/>
              <w:jc w:val="center"/>
              <w:rPr>
                <w:sz w:val="18"/>
                <w:szCs w:val="18"/>
              </w:rPr>
            </w:pPr>
            <w:r>
              <w:rPr>
                <w:rFonts w:hint="eastAsia"/>
                <w:sz w:val="18"/>
                <w:szCs w:val="18"/>
              </w:rPr>
              <w:t>5</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3</w:t>
            </w:r>
          </w:p>
        </w:tc>
        <w:tc>
          <w:tcPr>
            <w:tcW w:w="452" w:type="dxa"/>
            <w:vMerge w:val="continue"/>
            <w:vAlign w:val="center"/>
          </w:tcPr>
          <w:p>
            <w:pPr>
              <w:spacing w:line="320" w:lineRule="exact"/>
              <w:jc w:val="center"/>
              <w:rPr>
                <w:sz w:val="18"/>
                <w:szCs w:val="18"/>
              </w:rPr>
            </w:pPr>
          </w:p>
        </w:tc>
        <w:tc>
          <w:tcPr>
            <w:tcW w:w="4939" w:type="dxa"/>
            <w:tcBorders>
              <w:bottom w:val="single" w:color="auto" w:sz="4" w:space="0"/>
            </w:tcBorders>
            <w:vAlign w:val="center"/>
          </w:tcPr>
          <w:p>
            <w:pPr>
              <w:spacing w:line="320" w:lineRule="exact"/>
              <w:rPr>
                <w:sz w:val="18"/>
                <w:szCs w:val="18"/>
              </w:rPr>
            </w:pPr>
            <w:r>
              <w:rPr>
                <w:sz w:val="18"/>
                <w:szCs w:val="18"/>
              </w:rPr>
              <w:t>体  育</w:t>
            </w:r>
          </w:p>
        </w:tc>
        <w:tc>
          <w:tcPr>
            <w:tcW w:w="1059" w:type="dxa"/>
            <w:vAlign w:val="center"/>
          </w:tcPr>
          <w:p>
            <w:pPr>
              <w:spacing w:line="320" w:lineRule="exact"/>
              <w:jc w:val="center"/>
              <w:rPr>
                <w:sz w:val="18"/>
                <w:szCs w:val="18"/>
              </w:rPr>
            </w:pPr>
            <w:r>
              <w:rPr>
                <w:sz w:val="18"/>
                <w:szCs w:val="18"/>
              </w:rPr>
              <w:t>1</w:t>
            </w:r>
            <w:r>
              <w:rPr>
                <w:rFonts w:hint="eastAsia"/>
                <w:sz w:val="18"/>
                <w:szCs w:val="18"/>
              </w:rPr>
              <w:t>0</w:t>
            </w:r>
            <w:r>
              <w:rPr>
                <w:sz w:val="18"/>
                <w:szCs w:val="18"/>
              </w:rPr>
              <w:t>0</w:t>
            </w:r>
          </w:p>
        </w:tc>
        <w:tc>
          <w:tcPr>
            <w:tcW w:w="1122" w:type="dxa"/>
            <w:vAlign w:val="center"/>
          </w:tcPr>
          <w:p>
            <w:pPr>
              <w:spacing w:line="320" w:lineRule="exact"/>
              <w:jc w:val="center"/>
              <w:rPr>
                <w:sz w:val="18"/>
                <w:szCs w:val="18"/>
              </w:rPr>
            </w:pPr>
            <w:r>
              <w:rPr>
                <w:rFonts w:hint="eastAsia"/>
                <w:sz w:val="18"/>
                <w:szCs w:val="18"/>
              </w:rPr>
              <w:t>5</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4</w:t>
            </w:r>
          </w:p>
        </w:tc>
        <w:tc>
          <w:tcPr>
            <w:tcW w:w="452" w:type="dxa"/>
            <w:vMerge w:val="continue"/>
            <w:vAlign w:val="center"/>
          </w:tcPr>
          <w:p>
            <w:pPr>
              <w:spacing w:line="320" w:lineRule="exact"/>
              <w:jc w:val="center"/>
              <w:rPr>
                <w:sz w:val="18"/>
                <w:szCs w:val="18"/>
              </w:rPr>
            </w:pPr>
          </w:p>
        </w:tc>
        <w:tc>
          <w:tcPr>
            <w:tcW w:w="4939" w:type="dxa"/>
            <w:tcBorders>
              <w:top w:val="single" w:color="auto" w:sz="4" w:space="0"/>
            </w:tcBorders>
            <w:vAlign w:val="center"/>
          </w:tcPr>
          <w:p>
            <w:pPr>
              <w:spacing w:line="320" w:lineRule="exact"/>
              <w:rPr>
                <w:sz w:val="18"/>
                <w:szCs w:val="18"/>
              </w:rPr>
            </w:pPr>
            <w:r>
              <w:rPr>
                <w:sz w:val="18"/>
                <w:szCs w:val="18"/>
              </w:rPr>
              <w:t>健康教育</w:t>
            </w:r>
          </w:p>
        </w:tc>
        <w:tc>
          <w:tcPr>
            <w:tcW w:w="1059" w:type="dxa"/>
            <w:vAlign w:val="center"/>
          </w:tcPr>
          <w:p>
            <w:pPr>
              <w:spacing w:line="320" w:lineRule="exact"/>
              <w:jc w:val="center"/>
              <w:rPr>
                <w:sz w:val="18"/>
                <w:szCs w:val="18"/>
              </w:rPr>
            </w:pPr>
            <w:r>
              <w:rPr>
                <w:sz w:val="18"/>
                <w:szCs w:val="18"/>
              </w:rPr>
              <w:t>60</w:t>
            </w:r>
          </w:p>
        </w:tc>
        <w:tc>
          <w:tcPr>
            <w:tcW w:w="1122" w:type="dxa"/>
            <w:vAlign w:val="center"/>
          </w:tcPr>
          <w:p>
            <w:pPr>
              <w:spacing w:line="320" w:lineRule="exact"/>
              <w:jc w:val="center"/>
              <w:rPr>
                <w:sz w:val="18"/>
                <w:szCs w:val="18"/>
              </w:rPr>
            </w:pPr>
            <w:r>
              <w:rPr>
                <w:sz w:val="18"/>
                <w:szCs w:val="18"/>
              </w:rPr>
              <w:t>3.0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5</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就业创业系列</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6</w:t>
            </w:r>
          </w:p>
        </w:tc>
        <w:tc>
          <w:tcPr>
            <w:tcW w:w="452" w:type="dxa"/>
            <w:vMerge w:val="continue"/>
            <w:vAlign w:val="center"/>
          </w:tcPr>
          <w:p>
            <w:pPr>
              <w:spacing w:line="320" w:lineRule="exact"/>
              <w:jc w:val="center"/>
              <w:rPr>
                <w:sz w:val="18"/>
                <w:szCs w:val="18"/>
              </w:rPr>
            </w:pPr>
          </w:p>
        </w:tc>
        <w:tc>
          <w:tcPr>
            <w:tcW w:w="4939" w:type="dxa"/>
            <w:tcBorders>
              <w:bottom w:val="single" w:color="auto" w:sz="4" w:space="0"/>
            </w:tcBorders>
            <w:vAlign w:val="center"/>
          </w:tcPr>
          <w:p>
            <w:pPr>
              <w:spacing w:line="320" w:lineRule="exact"/>
              <w:rPr>
                <w:sz w:val="18"/>
                <w:szCs w:val="18"/>
              </w:rPr>
            </w:pPr>
            <w:r>
              <w:rPr>
                <w:sz w:val="18"/>
                <w:szCs w:val="18"/>
              </w:rPr>
              <w:t>英  语</w:t>
            </w:r>
          </w:p>
        </w:tc>
        <w:tc>
          <w:tcPr>
            <w:tcW w:w="1059" w:type="dxa"/>
            <w:vAlign w:val="center"/>
          </w:tcPr>
          <w:p>
            <w:pPr>
              <w:spacing w:line="320" w:lineRule="exact"/>
              <w:jc w:val="center"/>
              <w:rPr>
                <w:sz w:val="18"/>
                <w:szCs w:val="18"/>
              </w:rPr>
            </w:pPr>
            <w:r>
              <w:rPr>
                <w:sz w:val="18"/>
                <w:szCs w:val="18"/>
              </w:rPr>
              <w:t>1</w:t>
            </w:r>
            <w:r>
              <w:rPr>
                <w:rFonts w:hint="eastAsia"/>
                <w:sz w:val="18"/>
                <w:szCs w:val="18"/>
              </w:rPr>
              <w:t>0</w:t>
            </w:r>
            <w:r>
              <w:rPr>
                <w:sz w:val="18"/>
                <w:szCs w:val="18"/>
              </w:rPr>
              <w:t>0</w:t>
            </w:r>
          </w:p>
        </w:tc>
        <w:tc>
          <w:tcPr>
            <w:tcW w:w="1122" w:type="dxa"/>
            <w:vAlign w:val="center"/>
          </w:tcPr>
          <w:p>
            <w:pPr>
              <w:spacing w:line="320" w:lineRule="exact"/>
              <w:jc w:val="center"/>
              <w:rPr>
                <w:sz w:val="18"/>
                <w:szCs w:val="18"/>
              </w:rPr>
            </w:pPr>
            <w:r>
              <w:rPr>
                <w:rFonts w:hint="eastAsia"/>
                <w:sz w:val="18"/>
                <w:szCs w:val="18"/>
              </w:rPr>
              <w:t>5</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7</w:t>
            </w:r>
          </w:p>
        </w:tc>
        <w:tc>
          <w:tcPr>
            <w:tcW w:w="452" w:type="dxa"/>
            <w:vMerge w:val="continue"/>
            <w:vAlign w:val="center"/>
          </w:tcPr>
          <w:p>
            <w:pPr>
              <w:spacing w:line="320" w:lineRule="exact"/>
              <w:jc w:val="center"/>
              <w:rPr>
                <w:sz w:val="18"/>
                <w:szCs w:val="18"/>
              </w:rPr>
            </w:pPr>
          </w:p>
        </w:tc>
        <w:tc>
          <w:tcPr>
            <w:tcW w:w="4939" w:type="dxa"/>
            <w:tcBorders>
              <w:top w:val="single" w:color="auto" w:sz="4" w:space="0"/>
              <w:bottom w:val="single" w:color="auto" w:sz="4" w:space="0"/>
            </w:tcBorders>
            <w:vAlign w:val="center"/>
          </w:tcPr>
          <w:p>
            <w:pPr>
              <w:spacing w:line="320" w:lineRule="exact"/>
              <w:rPr>
                <w:sz w:val="18"/>
                <w:szCs w:val="18"/>
              </w:rPr>
            </w:pPr>
            <w:r>
              <w:rPr>
                <w:sz w:val="18"/>
                <w:szCs w:val="18"/>
              </w:rPr>
              <w:t>计算机应用</w:t>
            </w:r>
          </w:p>
        </w:tc>
        <w:tc>
          <w:tcPr>
            <w:tcW w:w="1059" w:type="dxa"/>
            <w:vAlign w:val="center"/>
          </w:tcPr>
          <w:p>
            <w:pPr>
              <w:spacing w:line="320" w:lineRule="exact"/>
              <w:jc w:val="center"/>
              <w:rPr>
                <w:sz w:val="18"/>
                <w:szCs w:val="18"/>
              </w:rPr>
            </w:pPr>
            <w:r>
              <w:rPr>
                <w:sz w:val="18"/>
                <w:szCs w:val="18"/>
              </w:rPr>
              <w:t>80</w:t>
            </w:r>
          </w:p>
        </w:tc>
        <w:tc>
          <w:tcPr>
            <w:tcW w:w="1122" w:type="dxa"/>
            <w:vAlign w:val="center"/>
          </w:tcPr>
          <w:p>
            <w:pPr>
              <w:spacing w:line="320" w:lineRule="exact"/>
              <w:jc w:val="center"/>
              <w:rPr>
                <w:sz w:val="18"/>
                <w:szCs w:val="18"/>
              </w:rPr>
            </w:pPr>
            <w:r>
              <w:rPr>
                <w:sz w:val="18"/>
                <w:szCs w:val="18"/>
              </w:rPr>
              <w:t>4.0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8</w:t>
            </w:r>
          </w:p>
        </w:tc>
        <w:tc>
          <w:tcPr>
            <w:tcW w:w="452" w:type="dxa"/>
            <w:vMerge w:val="continue"/>
            <w:vAlign w:val="center"/>
          </w:tcPr>
          <w:p>
            <w:pPr>
              <w:spacing w:line="320" w:lineRule="exact"/>
              <w:jc w:val="center"/>
              <w:rPr>
                <w:sz w:val="18"/>
                <w:szCs w:val="18"/>
              </w:rPr>
            </w:pPr>
          </w:p>
        </w:tc>
        <w:tc>
          <w:tcPr>
            <w:tcW w:w="4939" w:type="dxa"/>
            <w:tcBorders>
              <w:top w:val="single" w:color="auto" w:sz="4" w:space="0"/>
              <w:bottom w:val="single" w:color="auto" w:sz="4" w:space="0"/>
            </w:tcBorders>
            <w:vAlign w:val="center"/>
          </w:tcPr>
          <w:p>
            <w:pPr>
              <w:spacing w:line="320" w:lineRule="exact"/>
              <w:rPr>
                <w:sz w:val="18"/>
                <w:szCs w:val="18"/>
              </w:rPr>
            </w:pPr>
            <w:r>
              <w:rPr>
                <w:sz w:val="18"/>
                <w:szCs w:val="18"/>
              </w:rPr>
              <w:t>农业应用化学</w:t>
            </w:r>
          </w:p>
        </w:tc>
        <w:tc>
          <w:tcPr>
            <w:tcW w:w="1059" w:type="dxa"/>
            <w:vAlign w:val="center"/>
          </w:tcPr>
          <w:p>
            <w:pPr>
              <w:spacing w:line="320" w:lineRule="exact"/>
              <w:jc w:val="center"/>
              <w:rPr>
                <w:sz w:val="18"/>
                <w:szCs w:val="18"/>
              </w:rPr>
            </w:pPr>
            <w:r>
              <w:rPr>
                <w:sz w:val="18"/>
                <w:szCs w:val="18"/>
              </w:rPr>
              <w:t>60</w:t>
            </w:r>
          </w:p>
        </w:tc>
        <w:tc>
          <w:tcPr>
            <w:tcW w:w="1122" w:type="dxa"/>
            <w:vAlign w:val="center"/>
          </w:tcPr>
          <w:p>
            <w:pPr>
              <w:spacing w:line="320" w:lineRule="exact"/>
              <w:jc w:val="center"/>
              <w:rPr>
                <w:sz w:val="18"/>
                <w:szCs w:val="18"/>
              </w:rPr>
            </w:pPr>
            <w:r>
              <w:rPr>
                <w:sz w:val="18"/>
                <w:szCs w:val="18"/>
              </w:rPr>
              <w:t>3.0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9</w:t>
            </w:r>
          </w:p>
        </w:tc>
        <w:tc>
          <w:tcPr>
            <w:tcW w:w="452" w:type="dxa"/>
            <w:vMerge w:val="continue"/>
            <w:vAlign w:val="center"/>
          </w:tcPr>
          <w:p>
            <w:pPr>
              <w:spacing w:line="320" w:lineRule="exact"/>
              <w:jc w:val="center"/>
              <w:rPr>
                <w:sz w:val="18"/>
                <w:szCs w:val="18"/>
              </w:rPr>
            </w:pPr>
          </w:p>
        </w:tc>
        <w:tc>
          <w:tcPr>
            <w:tcW w:w="4939" w:type="dxa"/>
            <w:tcBorders>
              <w:top w:val="single" w:color="auto" w:sz="4" w:space="0"/>
            </w:tcBorders>
            <w:vAlign w:val="center"/>
          </w:tcPr>
          <w:p>
            <w:pPr>
              <w:spacing w:line="320" w:lineRule="exact"/>
              <w:rPr>
                <w:sz w:val="18"/>
                <w:szCs w:val="18"/>
              </w:rPr>
            </w:pPr>
            <w:r>
              <w:rPr>
                <w:sz w:val="18"/>
                <w:szCs w:val="18"/>
              </w:rPr>
              <w:t>实用文体写作</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10</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人文类选修（公选课）</w:t>
            </w:r>
          </w:p>
        </w:tc>
        <w:tc>
          <w:tcPr>
            <w:tcW w:w="1059" w:type="dxa"/>
            <w:vAlign w:val="center"/>
          </w:tcPr>
          <w:p>
            <w:pPr>
              <w:spacing w:line="320" w:lineRule="exact"/>
              <w:jc w:val="center"/>
              <w:rPr>
                <w:sz w:val="18"/>
                <w:szCs w:val="18"/>
              </w:rPr>
            </w:pPr>
            <w:r>
              <w:rPr>
                <w:sz w:val="18"/>
                <w:szCs w:val="18"/>
              </w:rPr>
              <w:t>60</w:t>
            </w:r>
          </w:p>
        </w:tc>
        <w:tc>
          <w:tcPr>
            <w:tcW w:w="1122" w:type="dxa"/>
            <w:tcBorders>
              <w:bottom w:val="single" w:color="auto" w:sz="4" w:space="0"/>
            </w:tcBorders>
            <w:vAlign w:val="center"/>
          </w:tcPr>
          <w:p>
            <w:pPr>
              <w:spacing w:line="320" w:lineRule="exact"/>
              <w:jc w:val="center"/>
              <w:rPr>
                <w:sz w:val="18"/>
                <w:szCs w:val="18"/>
              </w:rPr>
            </w:pPr>
            <w:r>
              <w:rPr>
                <w:sz w:val="18"/>
                <w:szCs w:val="18"/>
              </w:rPr>
              <w:t>3.0</w:t>
            </w:r>
          </w:p>
        </w:tc>
        <w:tc>
          <w:tcPr>
            <w:tcW w:w="1077" w:type="dxa"/>
            <w:vMerge w:val="continue"/>
            <w:tcBorders>
              <w:bottom w:val="single" w:color="auto" w:sz="4" w:space="0"/>
            </w:tcBorders>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jc w:val="center"/>
              <w:rPr>
                <w:sz w:val="18"/>
                <w:szCs w:val="18"/>
              </w:rPr>
            </w:pPr>
            <w:r>
              <w:rPr>
                <w:sz w:val="18"/>
                <w:szCs w:val="18"/>
              </w:rPr>
              <w:t xml:space="preserve">小 </w:t>
            </w:r>
            <w:r>
              <w:rPr>
                <w:rFonts w:hint="eastAsia"/>
                <w:sz w:val="18"/>
                <w:szCs w:val="18"/>
              </w:rPr>
              <w:t xml:space="preserve">       </w:t>
            </w:r>
            <w:r>
              <w:rPr>
                <w:sz w:val="18"/>
                <w:szCs w:val="18"/>
              </w:rPr>
              <w:t xml:space="preserve"> 计</w:t>
            </w:r>
          </w:p>
        </w:tc>
        <w:tc>
          <w:tcPr>
            <w:tcW w:w="1059" w:type="dxa"/>
            <w:vAlign w:val="center"/>
          </w:tcPr>
          <w:p>
            <w:pPr>
              <w:spacing w:line="320" w:lineRule="exact"/>
              <w:jc w:val="center"/>
              <w:rPr>
                <w:rFonts w:hint="eastAsia"/>
                <w:sz w:val="18"/>
                <w:szCs w:val="18"/>
              </w:rPr>
            </w:pPr>
            <w:r>
              <w:rPr>
                <w:rFonts w:hint="eastAsia"/>
                <w:sz w:val="18"/>
                <w:szCs w:val="18"/>
              </w:rPr>
              <w:t>640</w:t>
            </w:r>
          </w:p>
        </w:tc>
        <w:tc>
          <w:tcPr>
            <w:tcW w:w="1122" w:type="dxa"/>
            <w:tcBorders>
              <w:top w:val="single" w:color="auto" w:sz="4" w:space="0"/>
            </w:tcBorders>
            <w:vAlign w:val="center"/>
          </w:tcPr>
          <w:p>
            <w:pPr>
              <w:spacing w:line="320" w:lineRule="exact"/>
              <w:jc w:val="center"/>
              <w:rPr>
                <w:sz w:val="18"/>
                <w:szCs w:val="18"/>
              </w:rPr>
            </w:pPr>
            <w:r>
              <w:rPr>
                <w:sz w:val="18"/>
                <w:szCs w:val="18"/>
              </w:rPr>
              <w:t>3</w:t>
            </w:r>
            <w:r>
              <w:rPr>
                <w:rFonts w:hint="eastAsia"/>
                <w:sz w:val="18"/>
                <w:szCs w:val="18"/>
              </w:rPr>
              <w:t>2</w:t>
            </w:r>
            <w:r>
              <w:rPr>
                <w:sz w:val="18"/>
                <w:szCs w:val="18"/>
              </w:rPr>
              <w:t>.0</w:t>
            </w:r>
          </w:p>
        </w:tc>
        <w:tc>
          <w:tcPr>
            <w:tcW w:w="1077" w:type="dxa"/>
            <w:tcBorders>
              <w:top w:val="single" w:color="auto" w:sz="4" w:space="0"/>
            </w:tcBorders>
            <w:vAlign w:val="center"/>
          </w:tcPr>
          <w:p>
            <w:pPr>
              <w:spacing w:line="320" w:lineRule="exact"/>
              <w:jc w:val="center"/>
              <w:rPr>
                <w:sz w:val="18"/>
                <w:szCs w:val="18"/>
              </w:rPr>
            </w:pPr>
            <w:r>
              <w:rPr>
                <w:sz w:val="18"/>
                <w:szCs w:val="18"/>
              </w:rPr>
              <w:t>2</w:t>
            </w:r>
            <w:r>
              <w:rPr>
                <w:rFonts w:hint="eastAsia"/>
                <w:sz w:val="18"/>
                <w:szCs w:val="18"/>
                <w:lang w:val="en-US" w:eastAsia="zh-CN"/>
              </w:rPr>
              <w:t>2.5</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11</w:t>
            </w:r>
          </w:p>
        </w:tc>
        <w:tc>
          <w:tcPr>
            <w:tcW w:w="452" w:type="dxa"/>
            <w:vMerge w:val="restart"/>
            <w:vAlign w:val="center"/>
          </w:tcPr>
          <w:p>
            <w:pPr>
              <w:spacing w:line="320" w:lineRule="exact"/>
              <w:jc w:val="center"/>
              <w:rPr>
                <w:rFonts w:hint="eastAsia"/>
                <w:sz w:val="18"/>
                <w:szCs w:val="18"/>
              </w:rPr>
            </w:pPr>
            <w:r>
              <w:rPr>
                <w:sz w:val="18"/>
                <w:szCs w:val="18"/>
              </w:rPr>
              <w:t>专业学习</w:t>
            </w:r>
            <w:r>
              <w:rPr>
                <w:rFonts w:hint="eastAsia"/>
                <w:sz w:val="18"/>
                <w:szCs w:val="18"/>
              </w:rPr>
              <w:t>课程</w:t>
            </w:r>
          </w:p>
        </w:tc>
        <w:tc>
          <w:tcPr>
            <w:tcW w:w="4939" w:type="dxa"/>
            <w:vAlign w:val="center"/>
          </w:tcPr>
          <w:p>
            <w:pPr>
              <w:spacing w:line="320" w:lineRule="exact"/>
              <w:rPr>
                <w:rFonts w:hint="eastAsia"/>
                <w:spacing w:val="-8"/>
                <w:sz w:val="18"/>
                <w:szCs w:val="18"/>
              </w:rPr>
            </w:pPr>
            <w:r>
              <w:rPr>
                <w:spacing w:val="-8"/>
                <w:sz w:val="18"/>
                <w:szCs w:val="18"/>
              </w:rPr>
              <w:t>植物生长与环境（植物</w:t>
            </w:r>
            <w:r>
              <w:rPr>
                <w:rFonts w:hint="eastAsia"/>
                <w:spacing w:val="-8"/>
                <w:sz w:val="18"/>
                <w:szCs w:val="18"/>
                <w:lang w:eastAsia="zh-CN"/>
              </w:rPr>
              <w:t>、</w:t>
            </w:r>
            <w:r>
              <w:rPr>
                <w:spacing w:val="-8"/>
                <w:sz w:val="18"/>
                <w:szCs w:val="18"/>
              </w:rPr>
              <w:t>生理</w:t>
            </w:r>
            <w:r>
              <w:rPr>
                <w:rFonts w:hint="eastAsia"/>
                <w:spacing w:val="-8"/>
                <w:sz w:val="18"/>
                <w:szCs w:val="18"/>
                <w:lang w:eastAsia="zh-CN"/>
              </w:rPr>
              <w:t>、</w:t>
            </w:r>
            <w:r>
              <w:rPr>
                <w:spacing w:val="-8"/>
                <w:sz w:val="18"/>
                <w:szCs w:val="18"/>
              </w:rPr>
              <w:t>土壤</w:t>
            </w:r>
            <w:r>
              <w:rPr>
                <w:rFonts w:hint="eastAsia"/>
                <w:spacing w:val="-8"/>
                <w:sz w:val="18"/>
                <w:szCs w:val="18"/>
                <w:lang w:eastAsia="zh-CN"/>
              </w:rPr>
              <w:t>、</w:t>
            </w:r>
            <w:r>
              <w:rPr>
                <w:spacing w:val="-8"/>
                <w:sz w:val="18"/>
                <w:szCs w:val="18"/>
              </w:rPr>
              <w:t>肥料</w:t>
            </w:r>
            <w:r>
              <w:rPr>
                <w:rFonts w:hint="eastAsia"/>
                <w:spacing w:val="-8"/>
                <w:sz w:val="18"/>
                <w:szCs w:val="18"/>
                <w:lang w:eastAsia="zh-CN"/>
              </w:rPr>
              <w:t>、</w:t>
            </w:r>
            <w:r>
              <w:rPr>
                <w:spacing w:val="-8"/>
                <w:sz w:val="18"/>
                <w:szCs w:val="18"/>
              </w:rPr>
              <w:t>气象）</w:t>
            </w:r>
            <w:r>
              <w:rPr>
                <w:rFonts w:hint="eastAsia"/>
                <w:b/>
                <w:spacing w:val="-8"/>
                <w:sz w:val="18"/>
                <w:szCs w:val="18"/>
              </w:rPr>
              <w:t>*</w:t>
            </w:r>
          </w:p>
        </w:tc>
        <w:tc>
          <w:tcPr>
            <w:tcW w:w="1059" w:type="dxa"/>
            <w:vAlign w:val="center"/>
          </w:tcPr>
          <w:p>
            <w:pPr>
              <w:spacing w:line="320" w:lineRule="exact"/>
              <w:jc w:val="center"/>
              <w:rPr>
                <w:sz w:val="18"/>
                <w:szCs w:val="18"/>
              </w:rPr>
            </w:pPr>
            <w:r>
              <w:rPr>
                <w:sz w:val="18"/>
                <w:szCs w:val="18"/>
              </w:rPr>
              <w:t>1</w:t>
            </w:r>
            <w:r>
              <w:rPr>
                <w:rFonts w:hint="eastAsia"/>
                <w:sz w:val="18"/>
                <w:szCs w:val="18"/>
              </w:rPr>
              <w:t>2</w:t>
            </w:r>
            <w:r>
              <w:rPr>
                <w:sz w:val="18"/>
                <w:szCs w:val="18"/>
              </w:rPr>
              <w:t>0</w:t>
            </w:r>
          </w:p>
        </w:tc>
        <w:tc>
          <w:tcPr>
            <w:tcW w:w="1122" w:type="dxa"/>
            <w:vAlign w:val="center"/>
          </w:tcPr>
          <w:p>
            <w:pPr>
              <w:spacing w:line="320" w:lineRule="exact"/>
              <w:jc w:val="center"/>
              <w:rPr>
                <w:sz w:val="18"/>
                <w:szCs w:val="18"/>
              </w:rPr>
            </w:pPr>
            <w:r>
              <w:rPr>
                <w:rFonts w:hint="eastAsia"/>
                <w:sz w:val="18"/>
                <w:szCs w:val="18"/>
              </w:rPr>
              <w:t>6</w:t>
            </w:r>
            <w:r>
              <w:rPr>
                <w:sz w:val="18"/>
                <w:szCs w:val="18"/>
              </w:rPr>
              <w:t>.0</w:t>
            </w:r>
          </w:p>
        </w:tc>
        <w:tc>
          <w:tcPr>
            <w:tcW w:w="1077" w:type="dxa"/>
            <w:vMerge w:val="restart"/>
            <w:vAlign w:val="center"/>
          </w:tcPr>
          <w:p>
            <w:pPr>
              <w:spacing w:line="320" w:lineRule="exact"/>
              <w:jc w:val="center"/>
              <w:rPr>
                <w:sz w:val="18"/>
                <w:szCs w:val="18"/>
              </w:rPr>
            </w:pPr>
            <w:r>
              <w:rPr>
                <w:sz w:val="18"/>
                <w:szCs w:val="18"/>
              </w:rPr>
              <w:t>建议学时包括知识传授与技能培训2部分，技能培训所占比例</w:t>
            </w:r>
            <w:r>
              <w:rPr>
                <w:rFonts w:hint="eastAsia"/>
                <w:sz w:val="18"/>
                <w:szCs w:val="18"/>
              </w:rPr>
              <w:t>在40%以上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12</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蔬菜栽培</w:t>
            </w:r>
            <w:r>
              <w:rPr>
                <w:rFonts w:hint="eastAsia"/>
                <w:b/>
                <w:spacing w:val="-8"/>
                <w:sz w:val="18"/>
                <w:szCs w:val="18"/>
              </w:rPr>
              <w:t>*</w:t>
            </w:r>
          </w:p>
        </w:tc>
        <w:tc>
          <w:tcPr>
            <w:tcW w:w="1059" w:type="dxa"/>
            <w:vAlign w:val="center"/>
          </w:tcPr>
          <w:p>
            <w:pPr>
              <w:spacing w:line="320" w:lineRule="exact"/>
              <w:jc w:val="center"/>
              <w:rPr>
                <w:sz w:val="18"/>
                <w:szCs w:val="18"/>
              </w:rPr>
            </w:pPr>
            <w:r>
              <w:rPr>
                <w:sz w:val="18"/>
                <w:szCs w:val="18"/>
              </w:rPr>
              <w:t>1</w:t>
            </w:r>
            <w:r>
              <w:rPr>
                <w:rFonts w:hint="eastAsia"/>
                <w:sz w:val="18"/>
                <w:szCs w:val="18"/>
              </w:rPr>
              <w:t>2</w:t>
            </w:r>
            <w:r>
              <w:rPr>
                <w:sz w:val="18"/>
                <w:szCs w:val="18"/>
              </w:rPr>
              <w:t>0</w:t>
            </w:r>
          </w:p>
        </w:tc>
        <w:tc>
          <w:tcPr>
            <w:tcW w:w="1122" w:type="dxa"/>
            <w:vAlign w:val="center"/>
          </w:tcPr>
          <w:p>
            <w:pPr>
              <w:spacing w:line="320" w:lineRule="exact"/>
              <w:jc w:val="center"/>
              <w:rPr>
                <w:sz w:val="18"/>
                <w:szCs w:val="18"/>
              </w:rPr>
            </w:pPr>
            <w:r>
              <w:rPr>
                <w:rFonts w:hint="eastAsia"/>
                <w:sz w:val="18"/>
                <w:szCs w:val="18"/>
              </w:rPr>
              <w:t>6</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13</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果树栽培</w:t>
            </w:r>
            <w:r>
              <w:rPr>
                <w:rFonts w:hint="eastAsia"/>
                <w:b/>
                <w:spacing w:val="-8"/>
                <w:sz w:val="18"/>
                <w:szCs w:val="18"/>
              </w:rPr>
              <w:t>*</w:t>
            </w:r>
          </w:p>
        </w:tc>
        <w:tc>
          <w:tcPr>
            <w:tcW w:w="1059" w:type="dxa"/>
            <w:vAlign w:val="center"/>
          </w:tcPr>
          <w:p>
            <w:pPr>
              <w:spacing w:line="320" w:lineRule="exact"/>
              <w:jc w:val="center"/>
              <w:rPr>
                <w:sz w:val="18"/>
                <w:szCs w:val="18"/>
              </w:rPr>
            </w:pPr>
            <w:r>
              <w:rPr>
                <w:sz w:val="18"/>
                <w:szCs w:val="18"/>
              </w:rPr>
              <w:t>1</w:t>
            </w:r>
            <w:r>
              <w:rPr>
                <w:rFonts w:hint="eastAsia"/>
                <w:sz w:val="18"/>
                <w:szCs w:val="18"/>
              </w:rPr>
              <w:t>2</w:t>
            </w:r>
            <w:r>
              <w:rPr>
                <w:sz w:val="18"/>
                <w:szCs w:val="18"/>
              </w:rPr>
              <w:t>0</w:t>
            </w:r>
          </w:p>
        </w:tc>
        <w:tc>
          <w:tcPr>
            <w:tcW w:w="1122" w:type="dxa"/>
            <w:vAlign w:val="center"/>
          </w:tcPr>
          <w:p>
            <w:pPr>
              <w:spacing w:line="320" w:lineRule="exact"/>
              <w:jc w:val="center"/>
              <w:rPr>
                <w:sz w:val="18"/>
                <w:szCs w:val="18"/>
              </w:rPr>
            </w:pPr>
            <w:r>
              <w:rPr>
                <w:rFonts w:hint="eastAsia"/>
                <w:sz w:val="18"/>
                <w:szCs w:val="18"/>
              </w:rPr>
              <w:t>6</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14</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园艺设施</w:t>
            </w:r>
          </w:p>
        </w:tc>
        <w:tc>
          <w:tcPr>
            <w:tcW w:w="1059" w:type="dxa"/>
            <w:vAlign w:val="center"/>
          </w:tcPr>
          <w:p>
            <w:pPr>
              <w:spacing w:line="320" w:lineRule="exact"/>
              <w:jc w:val="center"/>
              <w:rPr>
                <w:sz w:val="18"/>
                <w:szCs w:val="18"/>
              </w:rPr>
            </w:pPr>
            <w:r>
              <w:rPr>
                <w:rFonts w:hint="eastAsia"/>
                <w:sz w:val="18"/>
                <w:szCs w:val="18"/>
              </w:rPr>
              <w:t>5</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2</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15</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林果苗木生产</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16</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蔬菜、花卉种子生产</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17</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园艺植物遗传与育种</w:t>
            </w:r>
          </w:p>
        </w:tc>
        <w:tc>
          <w:tcPr>
            <w:tcW w:w="1059" w:type="dxa"/>
            <w:vAlign w:val="center"/>
          </w:tcPr>
          <w:p>
            <w:pPr>
              <w:spacing w:line="320" w:lineRule="exact"/>
              <w:jc w:val="center"/>
              <w:rPr>
                <w:sz w:val="18"/>
                <w:szCs w:val="18"/>
              </w:rPr>
            </w:pPr>
            <w:r>
              <w:rPr>
                <w:sz w:val="18"/>
                <w:szCs w:val="18"/>
              </w:rPr>
              <w:t>60</w:t>
            </w:r>
          </w:p>
        </w:tc>
        <w:tc>
          <w:tcPr>
            <w:tcW w:w="1122" w:type="dxa"/>
            <w:vAlign w:val="center"/>
          </w:tcPr>
          <w:p>
            <w:pPr>
              <w:spacing w:line="320" w:lineRule="exact"/>
              <w:jc w:val="center"/>
              <w:rPr>
                <w:sz w:val="18"/>
                <w:szCs w:val="18"/>
              </w:rPr>
            </w:pPr>
            <w:r>
              <w:rPr>
                <w:sz w:val="18"/>
                <w:szCs w:val="18"/>
              </w:rPr>
              <w:t>3.0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18</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田间试验与统计分析</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19</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花卉栽培</w:t>
            </w:r>
            <w:r>
              <w:rPr>
                <w:rFonts w:hint="eastAsia"/>
                <w:b/>
                <w:spacing w:val="-8"/>
                <w:sz w:val="18"/>
                <w:szCs w:val="18"/>
              </w:rPr>
              <w:t>*</w:t>
            </w:r>
          </w:p>
        </w:tc>
        <w:tc>
          <w:tcPr>
            <w:tcW w:w="1059" w:type="dxa"/>
            <w:vAlign w:val="center"/>
          </w:tcPr>
          <w:p>
            <w:pPr>
              <w:spacing w:line="320" w:lineRule="exact"/>
              <w:jc w:val="center"/>
              <w:rPr>
                <w:sz w:val="18"/>
                <w:szCs w:val="18"/>
              </w:rPr>
            </w:pPr>
            <w:r>
              <w:rPr>
                <w:rFonts w:hint="eastAsia"/>
                <w:sz w:val="18"/>
                <w:szCs w:val="18"/>
              </w:rPr>
              <w:t>10</w:t>
            </w:r>
            <w:r>
              <w:rPr>
                <w:sz w:val="18"/>
                <w:szCs w:val="18"/>
              </w:rPr>
              <w:t>0</w:t>
            </w:r>
          </w:p>
        </w:tc>
        <w:tc>
          <w:tcPr>
            <w:tcW w:w="1122" w:type="dxa"/>
            <w:vAlign w:val="center"/>
          </w:tcPr>
          <w:p>
            <w:pPr>
              <w:spacing w:line="320" w:lineRule="exact"/>
              <w:jc w:val="center"/>
              <w:rPr>
                <w:sz w:val="18"/>
                <w:szCs w:val="18"/>
              </w:rPr>
            </w:pPr>
            <w:r>
              <w:rPr>
                <w:rFonts w:hint="eastAsia"/>
                <w:sz w:val="18"/>
                <w:szCs w:val="18"/>
              </w:rPr>
              <w:t>5</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20</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园艺植物病虫害防治</w:t>
            </w:r>
            <w:r>
              <w:rPr>
                <w:rFonts w:hint="eastAsia"/>
                <w:b/>
                <w:spacing w:val="-8"/>
                <w:sz w:val="18"/>
                <w:szCs w:val="18"/>
              </w:rPr>
              <w:t>*</w:t>
            </w:r>
          </w:p>
        </w:tc>
        <w:tc>
          <w:tcPr>
            <w:tcW w:w="1059" w:type="dxa"/>
            <w:vAlign w:val="center"/>
          </w:tcPr>
          <w:p>
            <w:pPr>
              <w:spacing w:line="320" w:lineRule="exact"/>
              <w:jc w:val="center"/>
              <w:rPr>
                <w:sz w:val="18"/>
                <w:szCs w:val="18"/>
              </w:rPr>
            </w:pPr>
            <w:r>
              <w:rPr>
                <w:rFonts w:hint="eastAsia"/>
                <w:sz w:val="18"/>
                <w:szCs w:val="18"/>
              </w:rPr>
              <w:t>8</w:t>
            </w:r>
            <w:r>
              <w:rPr>
                <w:sz w:val="18"/>
                <w:szCs w:val="18"/>
              </w:rPr>
              <w:t>0</w:t>
            </w:r>
          </w:p>
        </w:tc>
        <w:tc>
          <w:tcPr>
            <w:tcW w:w="1122" w:type="dxa"/>
            <w:tcBorders>
              <w:bottom w:val="single" w:color="auto" w:sz="4" w:space="0"/>
            </w:tcBorders>
            <w:vAlign w:val="center"/>
          </w:tcPr>
          <w:p>
            <w:pPr>
              <w:spacing w:line="320" w:lineRule="exact"/>
              <w:jc w:val="center"/>
              <w:rPr>
                <w:sz w:val="18"/>
                <w:szCs w:val="18"/>
              </w:rPr>
            </w:pPr>
            <w:r>
              <w:rPr>
                <w:rFonts w:hint="eastAsia"/>
                <w:sz w:val="18"/>
                <w:szCs w:val="18"/>
              </w:rPr>
              <w:t>4</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21</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rFonts w:hint="eastAsia"/>
                <w:sz w:val="18"/>
                <w:szCs w:val="18"/>
              </w:rPr>
              <w:t>园艺产品</w:t>
            </w:r>
            <w:r>
              <w:rPr>
                <w:rFonts w:hint="eastAsia"/>
                <w:sz w:val="18"/>
                <w:szCs w:val="18"/>
                <w:lang w:eastAsia="zh-CN"/>
              </w:rPr>
              <w:t>储</w:t>
            </w:r>
            <w:r>
              <w:rPr>
                <w:rFonts w:hint="eastAsia"/>
                <w:sz w:val="18"/>
                <w:szCs w:val="18"/>
              </w:rPr>
              <w:t>藏保鲜加工技术</w:t>
            </w:r>
          </w:p>
        </w:tc>
        <w:tc>
          <w:tcPr>
            <w:tcW w:w="1059" w:type="dxa"/>
            <w:vAlign w:val="center"/>
          </w:tcPr>
          <w:p>
            <w:pPr>
              <w:spacing w:line="320" w:lineRule="exact"/>
              <w:jc w:val="center"/>
              <w:rPr>
                <w:sz w:val="18"/>
                <w:szCs w:val="18"/>
              </w:rPr>
            </w:pPr>
            <w:r>
              <w:rPr>
                <w:rFonts w:hint="eastAsia"/>
                <w:sz w:val="18"/>
                <w:szCs w:val="18"/>
              </w:rPr>
              <w:t>6</w:t>
            </w:r>
            <w:r>
              <w:rPr>
                <w:sz w:val="18"/>
                <w:szCs w:val="18"/>
              </w:rPr>
              <w:t>0</w:t>
            </w:r>
          </w:p>
        </w:tc>
        <w:tc>
          <w:tcPr>
            <w:tcW w:w="1122" w:type="dxa"/>
            <w:tcBorders>
              <w:bottom w:val="single" w:color="auto" w:sz="4" w:space="0"/>
            </w:tcBorders>
            <w:vAlign w:val="center"/>
          </w:tcPr>
          <w:p>
            <w:pPr>
              <w:spacing w:line="320" w:lineRule="exact"/>
              <w:jc w:val="center"/>
              <w:rPr>
                <w:sz w:val="18"/>
                <w:szCs w:val="18"/>
              </w:rPr>
            </w:pPr>
            <w:r>
              <w:rPr>
                <w:rFonts w:hint="eastAsia"/>
                <w:sz w:val="18"/>
                <w:szCs w:val="18"/>
              </w:rPr>
              <w:t>3</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22</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园艺产品质量安全检测与分析</w:t>
            </w:r>
          </w:p>
        </w:tc>
        <w:tc>
          <w:tcPr>
            <w:tcW w:w="1059" w:type="dxa"/>
            <w:vAlign w:val="center"/>
          </w:tcPr>
          <w:p>
            <w:pPr>
              <w:spacing w:line="320" w:lineRule="exact"/>
              <w:jc w:val="center"/>
              <w:rPr>
                <w:sz w:val="18"/>
                <w:szCs w:val="18"/>
              </w:rPr>
            </w:pPr>
            <w:r>
              <w:rPr>
                <w:sz w:val="18"/>
                <w:szCs w:val="18"/>
              </w:rPr>
              <w:t>40</w:t>
            </w:r>
          </w:p>
        </w:tc>
        <w:tc>
          <w:tcPr>
            <w:tcW w:w="1122" w:type="dxa"/>
            <w:tcBorders>
              <w:bottom w:val="single" w:color="auto" w:sz="4" w:space="0"/>
            </w:tcBorders>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sz w:val="18"/>
                <w:szCs w:val="18"/>
              </w:rPr>
            </w:pPr>
            <w:r>
              <w:rPr>
                <w:rFonts w:hint="eastAsia"/>
                <w:sz w:val="18"/>
                <w:szCs w:val="18"/>
              </w:rPr>
              <w:t>23</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企业经营管理</w:t>
            </w:r>
          </w:p>
        </w:tc>
        <w:tc>
          <w:tcPr>
            <w:tcW w:w="1059" w:type="dxa"/>
            <w:vAlign w:val="center"/>
          </w:tcPr>
          <w:p>
            <w:pPr>
              <w:spacing w:line="320" w:lineRule="exact"/>
              <w:jc w:val="center"/>
              <w:rPr>
                <w:sz w:val="18"/>
                <w:szCs w:val="18"/>
              </w:rPr>
            </w:pPr>
            <w:r>
              <w:rPr>
                <w:sz w:val="18"/>
                <w:szCs w:val="18"/>
              </w:rPr>
              <w:t>40</w:t>
            </w:r>
          </w:p>
        </w:tc>
        <w:tc>
          <w:tcPr>
            <w:tcW w:w="1122" w:type="dxa"/>
            <w:tcBorders>
              <w:bottom w:val="single" w:color="auto" w:sz="4" w:space="0"/>
            </w:tcBorders>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jc w:val="center"/>
              <w:rPr>
                <w:sz w:val="18"/>
                <w:szCs w:val="18"/>
              </w:rPr>
            </w:pPr>
            <w:r>
              <w:rPr>
                <w:sz w:val="18"/>
                <w:szCs w:val="18"/>
              </w:rPr>
              <w:t xml:space="preserve">小 </w:t>
            </w:r>
            <w:r>
              <w:rPr>
                <w:rFonts w:hint="eastAsia"/>
                <w:sz w:val="18"/>
                <w:szCs w:val="18"/>
              </w:rPr>
              <w:t xml:space="preserve">       </w:t>
            </w:r>
            <w:r>
              <w:rPr>
                <w:sz w:val="18"/>
                <w:szCs w:val="18"/>
              </w:rPr>
              <w:t xml:space="preserve"> 计</w:t>
            </w:r>
          </w:p>
        </w:tc>
        <w:tc>
          <w:tcPr>
            <w:tcW w:w="1059" w:type="dxa"/>
            <w:vAlign w:val="center"/>
          </w:tcPr>
          <w:p>
            <w:pPr>
              <w:spacing w:line="320" w:lineRule="exact"/>
              <w:jc w:val="center"/>
              <w:rPr>
                <w:rFonts w:hint="eastAsia"/>
                <w:sz w:val="18"/>
                <w:szCs w:val="18"/>
              </w:rPr>
            </w:pPr>
            <w:r>
              <w:rPr>
                <w:rFonts w:hint="eastAsia"/>
                <w:sz w:val="18"/>
                <w:szCs w:val="18"/>
              </w:rPr>
              <w:t>910</w:t>
            </w:r>
          </w:p>
        </w:tc>
        <w:tc>
          <w:tcPr>
            <w:tcW w:w="1122" w:type="dxa"/>
            <w:tcBorders>
              <w:top w:val="single" w:color="auto" w:sz="4" w:space="0"/>
            </w:tcBorders>
            <w:vAlign w:val="center"/>
          </w:tcPr>
          <w:p>
            <w:pPr>
              <w:spacing w:line="320" w:lineRule="exact"/>
              <w:jc w:val="center"/>
              <w:rPr>
                <w:rFonts w:hint="eastAsia"/>
                <w:sz w:val="18"/>
                <w:szCs w:val="18"/>
              </w:rPr>
            </w:pPr>
            <w:r>
              <w:rPr>
                <w:rFonts w:hint="eastAsia"/>
                <w:sz w:val="18"/>
                <w:szCs w:val="18"/>
              </w:rPr>
              <w:t>45</w:t>
            </w:r>
            <w:r>
              <w:rPr>
                <w:sz w:val="18"/>
                <w:szCs w:val="18"/>
              </w:rPr>
              <w:t>.</w:t>
            </w:r>
            <w:r>
              <w:rPr>
                <w:rFonts w:hint="eastAsia"/>
                <w:sz w:val="18"/>
                <w:szCs w:val="18"/>
              </w:rPr>
              <w:t>5</w:t>
            </w:r>
          </w:p>
        </w:tc>
        <w:tc>
          <w:tcPr>
            <w:tcW w:w="1077" w:type="dxa"/>
            <w:tcBorders>
              <w:top w:val="single" w:color="auto" w:sz="4" w:space="0"/>
            </w:tcBorders>
            <w:vAlign w:val="center"/>
          </w:tcPr>
          <w:p>
            <w:pPr>
              <w:spacing w:line="320" w:lineRule="exact"/>
              <w:jc w:val="center"/>
              <w:rPr>
                <w:sz w:val="18"/>
                <w:szCs w:val="18"/>
              </w:rPr>
            </w:pPr>
            <w:r>
              <w:rPr>
                <w:sz w:val="18"/>
                <w:szCs w:val="18"/>
              </w:rPr>
              <w:t>3</w:t>
            </w:r>
            <w:r>
              <w:rPr>
                <w:rFonts w:hint="eastAsia"/>
                <w:sz w:val="18"/>
                <w:szCs w:val="18"/>
                <w:lang w:val="en-US" w:eastAsia="zh-CN"/>
              </w:rPr>
              <w:t>2.0</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4</w:t>
            </w:r>
          </w:p>
        </w:tc>
        <w:tc>
          <w:tcPr>
            <w:tcW w:w="452" w:type="dxa"/>
            <w:vMerge w:val="restart"/>
            <w:vAlign w:val="center"/>
          </w:tcPr>
          <w:p>
            <w:pPr>
              <w:spacing w:line="320" w:lineRule="exact"/>
              <w:jc w:val="center"/>
              <w:rPr>
                <w:rFonts w:hint="eastAsia"/>
                <w:sz w:val="18"/>
                <w:szCs w:val="18"/>
              </w:rPr>
            </w:pPr>
            <w:r>
              <w:rPr>
                <w:sz w:val="18"/>
                <w:szCs w:val="18"/>
              </w:rPr>
              <w:t>拓展学习</w:t>
            </w:r>
            <w:r>
              <w:rPr>
                <w:rFonts w:hint="eastAsia"/>
                <w:sz w:val="18"/>
                <w:szCs w:val="18"/>
              </w:rPr>
              <w:t>课程</w:t>
            </w:r>
          </w:p>
        </w:tc>
        <w:tc>
          <w:tcPr>
            <w:tcW w:w="4939" w:type="dxa"/>
            <w:vAlign w:val="center"/>
          </w:tcPr>
          <w:p>
            <w:pPr>
              <w:spacing w:line="320" w:lineRule="exact"/>
              <w:rPr>
                <w:sz w:val="18"/>
                <w:szCs w:val="18"/>
              </w:rPr>
            </w:pPr>
            <w:r>
              <w:rPr>
                <w:sz w:val="18"/>
                <w:szCs w:val="18"/>
              </w:rPr>
              <w:t>市场营销</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restart"/>
            <w:vAlign w:val="center"/>
          </w:tcPr>
          <w:p>
            <w:pPr>
              <w:spacing w:line="320" w:lineRule="exact"/>
              <w:jc w:val="center"/>
              <w:rPr>
                <w:sz w:val="18"/>
                <w:szCs w:val="18"/>
              </w:rPr>
            </w:pPr>
            <w:r>
              <w:rPr>
                <w:sz w:val="18"/>
                <w:szCs w:val="18"/>
              </w:rPr>
              <w:t>任选3门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5</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稀特蔬菜栽培技术</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6</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无土栽培</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7</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食用菌生产技术</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8</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测量技术</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9</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植物组织培养</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eastAsiaTheme="minorEastAsia"/>
                <w:sz w:val="18"/>
                <w:szCs w:val="18"/>
                <w:lang w:val="en-US" w:eastAsia="zh-CN"/>
              </w:rPr>
            </w:pPr>
            <w:r>
              <w:rPr>
                <w:rFonts w:hint="eastAsia"/>
                <w:sz w:val="18"/>
                <w:szCs w:val="18"/>
                <w:lang w:val="en-US" w:eastAsia="zh-CN"/>
              </w:rPr>
              <w:t>30</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农产品安全生产</w:t>
            </w:r>
          </w:p>
        </w:tc>
        <w:tc>
          <w:tcPr>
            <w:tcW w:w="1059" w:type="dxa"/>
            <w:vAlign w:val="center"/>
          </w:tcPr>
          <w:p>
            <w:pPr>
              <w:spacing w:line="320" w:lineRule="exact"/>
              <w:jc w:val="center"/>
              <w:rPr>
                <w:rFonts w:hint="eastAsia"/>
                <w:sz w:val="18"/>
                <w:szCs w:val="18"/>
              </w:rPr>
            </w:pPr>
            <w:r>
              <w:rPr>
                <w:rFonts w:hint="eastAsia"/>
                <w:sz w:val="18"/>
                <w:szCs w:val="18"/>
              </w:rPr>
              <w:t>30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sz w:val="18"/>
                <w:szCs w:val="18"/>
              </w:rPr>
            </w:pPr>
            <w:r>
              <w:rPr>
                <w:rFonts w:hint="eastAsia"/>
                <w:sz w:val="18"/>
                <w:szCs w:val="18"/>
              </w:rPr>
              <w:t>3</w:t>
            </w:r>
            <w:r>
              <w:rPr>
                <w:rFonts w:hint="eastAsia"/>
                <w:sz w:val="18"/>
                <w:szCs w:val="18"/>
                <w:lang w:val="en-US" w:eastAsia="zh-CN"/>
              </w:rPr>
              <w:t>1</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农业生态与环境保护</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sz w:val="18"/>
                <w:szCs w:val="18"/>
              </w:rPr>
            </w:pPr>
            <w:r>
              <w:rPr>
                <w:rFonts w:hint="eastAsia"/>
                <w:sz w:val="18"/>
                <w:szCs w:val="18"/>
              </w:rPr>
              <w:t>3</w:t>
            </w:r>
            <w:r>
              <w:rPr>
                <w:rFonts w:hint="eastAsia"/>
                <w:sz w:val="18"/>
                <w:szCs w:val="18"/>
                <w:lang w:val="en-US" w:eastAsia="zh-CN"/>
              </w:rPr>
              <w:t>2</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农业法律法规</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50" w:hRule="atLeast"/>
          <w:jc w:val="center"/>
        </w:trPr>
        <w:tc>
          <w:tcPr>
            <w:tcW w:w="488" w:type="dxa"/>
            <w:vAlign w:val="center"/>
          </w:tcPr>
          <w:p>
            <w:pPr>
              <w:spacing w:line="320" w:lineRule="exact"/>
              <w:jc w:val="center"/>
              <w:rPr>
                <w:rFonts w:hint="eastAsia"/>
                <w:sz w:val="18"/>
                <w:szCs w:val="18"/>
              </w:rPr>
            </w:pPr>
            <w:r>
              <w:rPr>
                <w:rFonts w:hint="eastAsia"/>
                <w:sz w:val="18"/>
                <w:szCs w:val="18"/>
              </w:rPr>
              <w:t>3</w:t>
            </w:r>
            <w:r>
              <w:rPr>
                <w:rFonts w:hint="eastAsia"/>
                <w:sz w:val="18"/>
                <w:szCs w:val="18"/>
                <w:lang w:val="en-US" w:eastAsia="zh-CN"/>
              </w:rPr>
              <w:t>3</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农业技术推广</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eastAsiaTheme="minorEastAsia"/>
                <w:sz w:val="18"/>
                <w:szCs w:val="18"/>
                <w:lang w:val="en-US" w:eastAsia="zh-CN"/>
              </w:rPr>
            </w:pPr>
            <w:r>
              <w:rPr>
                <w:rFonts w:hint="eastAsia"/>
                <w:sz w:val="18"/>
                <w:szCs w:val="18"/>
                <w:lang w:val="en-US" w:eastAsia="zh-CN"/>
              </w:rPr>
              <w:t>34</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eastAsiaTheme="minorEastAsia"/>
                <w:sz w:val="18"/>
                <w:szCs w:val="18"/>
                <w:lang w:eastAsia="zh-CN"/>
              </w:rPr>
            </w:pPr>
            <w:r>
              <w:rPr>
                <w:rFonts w:hint="eastAsia"/>
                <w:sz w:val="18"/>
                <w:szCs w:val="18"/>
                <w:lang w:eastAsia="zh-CN"/>
              </w:rPr>
              <w:t>插花与花艺装饰</w:t>
            </w:r>
          </w:p>
        </w:tc>
        <w:tc>
          <w:tcPr>
            <w:tcW w:w="1059" w:type="dxa"/>
            <w:vAlign w:val="center"/>
          </w:tcPr>
          <w:p>
            <w:pPr>
              <w:spacing w:line="320" w:lineRule="exact"/>
              <w:jc w:val="center"/>
              <w:rPr>
                <w:rFonts w:hint="eastAsia" w:eastAsiaTheme="minorEastAsia"/>
                <w:sz w:val="18"/>
                <w:szCs w:val="18"/>
                <w:lang w:val="en-US" w:eastAsia="zh-CN"/>
              </w:rPr>
            </w:pPr>
            <w:r>
              <w:rPr>
                <w:rFonts w:hint="eastAsia"/>
                <w:sz w:val="18"/>
                <w:szCs w:val="18"/>
                <w:lang w:val="en-US" w:eastAsia="zh-CN"/>
              </w:rPr>
              <w:t>30</w:t>
            </w:r>
          </w:p>
        </w:tc>
        <w:tc>
          <w:tcPr>
            <w:tcW w:w="1122" w:type="dxa"/>
            <w:tcBorders>
              <w:bottom w:val="single" w:color="auto" w:sz="4" w:space="0"/>
            </w:tcBorders>
            <w:vAlign w:val="center"/>
          </w:tcPr>
          <w:p>
            <w:pPr>
              <w:spacing w:line="320" w:lineRule="exact"/>
              <w:jc w:val="center"/>
              <w:rPr>
                <w:rFonts w:hint="eastAsia" w:eastAsiaTheme="minorEastAsia"/>
                <w:sz w:val="18"/>
                <w:szCs w:val="18"/>
                <w:lang w:val="en-US" w:eastAsia="zh-CN"/>
              </w:rPr>
            </w:pPr>
            <w:r>
              <w:rPr>
                <w:rFonts w:hint="eastAsia"/>
                <w:sz w:val="18"/>
                <w:szCs w:val="18"/>
                <w:lang w:val="en-US" w:eastAsia="zh-CN"/>
              </w:rPr>
              <w:t>1.5</w:t>
            </w:r>
          </w:p>
        </w:tc>
        <w:tc>
          <w:tcPr>
            <w:tcW w:w="1077" w:type="dxa"/>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jc w:val="center"/>
              <w:rPr>
                <w:sz w:val="18"/>
                <w:szCs w:val="18"/>
              </w:rPr>
            </w:pPr>
            <w:r>
              <w:rPr>
                <w:sz w:val="18"/>
                <w:szCs w:val="18"/>
              </w:rPr>
              <w:t xml:space="preserve">小 </w:t>
            </w:r>
            <w:r>
              <w:rPr>
                <w:rFonts w:hint="eastAsia"/>
                <w:sz w:val="18"/>
                <w:szCs w:val="18"/>
              </w:rPr>
              <w:t xml:space="preserve">       </w:t>
            </w:r>
            <w:r>
              <w:rPr>
                <w:sz w:val="18"/>
                <w:szCs w:val="18"/>
              </w:rPr>
              <w:t xml:space="preserve"> 计</w:t>
            </w:r>
          </w:p>
        </w:tc>
        <w:tc>
          <w:tcPr>
            <w:tcW w:w="1059" w:type="dxa"/>
            <w:vAlign w:val="center"/>
          </w:tcPr>
          <w:p>
            <w:pPr>
              <w:spacing w:line="320" w:lineRule="exact"/>
              <w:jc w:val="center"/>
              <w:rPr>
                <w:sz w:val="18"/>
                <w:szCs w:val="18"/>
              </w:rPr>
            </w:pPr>
            <w:r>
              <w:rPr>
                <w:rFonts w:hint="eastAsia"/>
                <w:sz w:val="18"/>
                <w:szCs w:val="18"/>
              </w:rPr>
              <w:t>9</w:t>
            </w:r>
            <w:r>
              <w:rPr>
                <w:sz w:val="18"/>
                <w:szCs w:val="18"/>
              </w:rPr>
              <w:t>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4</w:t>
            </w:r>
            <w:r>
              <w:rPr>
                <w:sz w:val="18"/>
                <w:szCs w:val="18"/>
              </w:rPr>
              <w:t>.</w:t>
            </w:r>
            <w:r>
              <w:rPr>
                <w:rFonts w:hint="eastAsia"/>
                <w:sz w:val="18"/>
                <w:szCs w:val="18"/>
              </w:rPr>
              <w:t>5</w:t>
            </w:r>
          </w:p>
        </w:tc>
        <w:tc>
          <w:tcPr>
            <w:tcW w:w="1077" w:type="dxa"/>
            <w:tcBorders>
              <w:bottom w:val="single" w:color="auto" w:sz="4" w:space="0"/>
            </w:tcBorders>
            <w:vAlign w:val="center"/>
          </w:tcPr>
          <w:p>
            <w:pPr>
              <w:spacing w:line="320" w:lineRule="exact"/>
              <w:jc w:val="center"/>
              <w:rPr>
                <w:sz w:val="18"/>
                <w:szCs w:val="18"/>
              </w:rPr>
            </w:pPr>
            <w:r>
              <w:rPr>
                <w:rFonts w:hint="eastAsia"/>
                <w:sz w:val="18"/>
                <w:szCs w:val="18"/>
              </w:rPr>
              <w:t>3</w:t>
            </w:r>
            <w:r>
              <w:rPr>
                <w:rFonts w:hint="eastAsia"/>
                <w:sz w:val="18"/>
                <w:szCs w:val="18"/>
                <w:lang w:val="en-US" w:eastAsia="zh-CN"/>
              </w:rPr>
              <w:t>.2</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88" w:type="dxa"/>
            <w:vAlign w:val="center"/>
          </w:tcPr>
          <w:p>
            <w:pPr>
              <w:spacing w:line="320" w:lineRule="exact"/>
              <w:jc w:val="center"/>
              <w:rPr>
                <w:sz w:val="18"/>
                <w:szCs w:val="18"/>
              </w:rPr>
            </w:pPr>
          </w:p>
        </w:tc>
        <w:tc>
          <w:tcPr>
            <w:tcW w:w="452" w:type="dxa"/>
            <w:vMerge w:val="restart"/>
            <w:vAlign w:val="center"/>
          </w:tcPr>
          <w:p>
            <w:pPr>
              <w:spacing w:line="200" w:lineRule="exact"/>
              <w:jc w:val="center"/>
              <w:rPr>
                <w:rFonts w:hint="eastAsia"/>
                <w:sz w:val="18"/>
                <w:szCs w:val="18"/>
              </w:rPr>
            </w:pPr>
            <w:r>
              <w:rPr>
                <w:sz w:val="18"/>
                <w:szCs w:val="18"/>
              </w:rPr>
              <w:t>实践</w:t>
            </w:r>
            <w:r>
              <w:rPr>
                <w:rFonts w:hint="eastAsia"/>
                <w:sz w:val="18"/>
                <w:szCs w:val="18"/>
              </w:rPr>
              <w:t>学</w:t>
            </w:r>
            <w:r>
              <w:rPr>
                <w:sz w:val="18"/>
                <w:szCs w:val="18"/>
              </w:rPr>
              <w:t>习</w:t>
            </w:r>
            <w:r>
              <w:rPr>
                <w:rFonts w:hint="eastAsia"/>
                <w:sz w:val="18"/>
                <w:szCs w:val="18"/>
              </w:rPr>
              <w:t>课程</w:t>
            </w:r>
          </w:p>
        </w:tc>
        <w:tc>
          <w:tcPr>
            <w:tcW w:w="4939" w:type="dxa"/>
            <w:vAlign w:val="center"/>
          </w:tcPr>
          <w:p>
            <w:pPr>
              <w:spacing w:line="320" w:lineRule="exact"/>
              <w:rPr>
                <w:rFonts w:hint="eastAsia"/>
                <w:sz w:val="18"/>
                <w:szCs w:val="18"/>
              </w:rPr>
            </w:pPr>
            <w:r>
              <w:rPr>
                <w:rFonts w:hint="eastAsia"/>
                <w:sz w:val="18"/>
                <w:szCs w:val="18"/>
              </w:rPr>
              <w:t>专业综合实训</w:t>
            </w:r>
          </w:p>
        </w:tc>
        <w:tc>
          <w:tcPr>
            <w:tcW w:w="1059" w:type="dxa"/>
            <w:vAlign w:val="center"/>
          </w:tcPr>
          <w:p>
            <w:pPr>
              <w:spacing w:line="320" w:lineRule="exact"/>
              <w:jc w:val="center"/>
              <w:rPr>
                <w:sz w:val="18"/>
                <w:szCs w:val="18"/>
              </w:rPr>
            </w:pPr>
            <w:r>
              <w:rPr>
                <w:rFonts w:hint="eastAsia"/>
                <w:sz w:val="18"/>
                <w:szCs w:val="18"/>
              </w:rPr>
              <w:t>15</w:t>
            </w:r>
            <w:r>
              <w:rPr>
                <w:rFonts w:hint="eastAsia" w:ascii="宋体" w:hAnsi="宋体"/>
                <w:sz w:val="18"/>
                <w:szCs w:val="18"/>
              </w:rPr>
              <w:t>-</w:t>
            </w:r>
            <w:r>
              <w:rPr>
                <w:rFonts w:hint="eastAsia"/>
                <w:sz w:val="18"/>
                <w:szCs w:val="18"/>
              </w:rPr>
              <w:t>20</w:t>
            </w:r>
            <w:r>
              <w:rPr>
                <w:sz w:val="18"/>
                <w:szCs w:val="18"/>
              </w:rPr>
              <w:t>周</w:t>
            </w:r>
          </w:p>
        </w:tc>
        <w:tc>
          <w:tcPr>
            <w:tcW w:w="1122" w:type="dxa"/>
            <w:tcBorders>
              <w:top w:val="single" w:color="auto" w:sz="4" w:space="0"/>
            </w:tcBorders>
            <w:vAlign w:val="center"/>
          </w:tcPr>
          <w:p>
            <w:pPr>
              <w:spacing w:line="320" w:lineRule="exact"/>
              <w:jc w:val="center"/>
              <w:rPr>
                <w:rFonts w:hint="eastAsia"/>
                <w:sz w:val="18"/>
                <w:szCs w:val="18"/>
              </w:rPr>
            </w:pPr>
            <w:r>
              <w:rPr>
                <w:rFonts w:hint="eastAsia"/>
                <w:sz w:val="18"/>
                <w:szCs w:val="18"/>
              </w:rPr>
              <w:t>15</w:t>
            </w:r>
            <w:r>
              <w:rPr>
                <w:sz w:val="18"/>
                <w:szCs w:val="18"/>
              </w:rPr>
              <w:t>.0</w:t>
            </w:r>
            <w:r>
              <w:rPr>
                <w:rFonts w:hint="eastAsia"/>
                <w:sz w:val="18"/>
                <w:szCs w:val="18"/>
              </w:rPr>
              <w:t>-20</w:t>
            </w:r>
            <w:r>
              <w:rPr>
                <w:sz w:val="18"/>
                <w:szCs w:val="18"/>
              </w:rPr>
              <w:t>.</w:t>
            </w:r>
            <w:r>
              <w:rPr>
                <w:rFonts w:hint="eastAsia"/>
                <w:sz w:val="18"/>
                <w:szCs w:val="18"/>
              </w:rPr>
              <w:t>0</w:t>
            </w:r>
          </w:p>
        </w:tc>
        <w:tc>
          <w:tcPr>
            <w:tcW w:w="1077" w:type="dxa"/>
            <w:tcBorders>
              <w:top w:val="single" w:color="auto" w:sz="4" w:space="0"/>
            </w:tcBorders>
            <w:vAlign w:val="center"/>
          </w:tcPr>
          <w:p>
            <w:pPr>
              <w:spacing w:line="320" w:lineRule="exact"/>
              <w:jc w:val="center"/>
              <w:rPr>
                <w:rFonts w:hint="eastAsia"/>
                <w:sz w:val="18"/>
                <w:szCs w:val="18"/>
              </w:rPr>
            </w:pPr>
            <w:r>
              <w:rPr>
                <w:rFonts w:hint="eastAsia"/>
                <w:sz w:val="18"/>
                <w:szCs w:val="18"/>
                <w:lang w:eastAsia="zh-CN"/>
              </w:rPr>
              <w:t>第</w:t>
            </w:r>
            <w:r>
              <w:rPr>
                <w:rFonts w:hint="eastAsia"/>
                <w:sz w:val="18"/>
                <w:szCs w:val="18"/>
              </w:rPr>
              <w:t>1</w:t>
            </w:r>
            <w:r>
              <w:rPr>
                <w:rFonts w:hint="eastAsia"/>
                <w:sz w:val="18"/>
                <w:szCs w:val="18"/>
                <w:lang w:val="en-US" w:eastAsia="zh-CN"/>
              </w:rPr>
              <w:t>~</w:t>
            </w:r>
            <w:r>
              <w:rPr>
                <w:sz w:val="18"/>
                <w:szCs w:val="18"/>
              </w:rPr>
              <w:t>5学期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企业顶岗</w:t>
            </w:r>
            <w:r>
              <w:rPr>
                <w:sz w:val="18"/>
                <w:szCs w:val="18"/>
              </w:rPr>
              <w:t>实</w:t>
            </w:r>
            <w:r>
              <w:rPr>
                <w:rFonts w:hint="eastAsia"/>
                <w:sz w:val="18"/>
                <w:szCs w:val="18"/>
              </w:rPr>
              <w:t>训</w:t>
            </w:r>
          </w:p>
        </w:tc>
        <w:tc>
          <w:tcPr>
            <w:tcW w:w="1059" w:type="dxa"/>
            <w:vAlign w:val="center"/>
          </w:tcPr>
          <w:p>
            <w:pPr>
              <w:spacing w:line="320" w:lineRule="exact"/>
              <w:jc w:val="center"/>
              <w:rPr>
                <w:sz w:val="18"/>
                <w:szCs w:val="18"/>
              </w:rPr>
            </w:pPr>
            <w:r>
              <w:rPr>
                <w:sz w:val="18"/>
                <w:szCs w:val="18"/>
              </w:rPr>
              <w:t>2</w:t>
            </w:r>
            <w:r>
              <w:rPr>
                <w:rFonts w:hint="eastAsia"/>
                <w:sz w:val="18"/>
                <w:szCs w:val="18"/>
              </w:rPr>
              <w:t>0</w:t>
            </w:r>
            <w:r>
              <w:rPr>
                <w:sz w:val="18"/>
                <w:szCs w:val="18"/>
              </w:rPr>
              <w:t>.0周</w:t>
            </w:r>
          </w:p>
        </w:tc>
        <w:tc>
          <w:tcPr>
            <w:tcW w:w="1122" w:type="dxa"/>
            <w:vAlign w:val="center"/>
          </w:tcPr>
          <w:p>
            <w:pPr>
              <w:spacing w:line="320" w:lineRule="exact"/>
              <w:jc w:val="center"/>
              <w:rPr>
                <w:sz w:val="18"/>
                <w:szCs w:val="18"/>
              </w:rPr>
            </w:pPr>
            <w:r>
              <w:rPr>
                <w:sz w:val="18"/>
                <w:szCs w:val="18"/>
              </w:rPr>
              <w:t>2</w:t>
            </w:r>
            <w:r>
              <w:rPr>
                <w:rFonts w:hint="eastAsia"/>
                <w:sz w:val="18"/>
                <w:szCs w:val="18"/>
              </w:rPr>
              <w:t>0</w:t>
            </w:r>
            <w:r>
              <w:rPr>
                <w:sz w:val="18"/>
                <w:szCs w:val="18"/>
              </w:rPr>
              <w:t>.0</w:t>
            </w:r>
          </w:p>
        </w:tc>
        <w:tc>
          <w:tcPr>
            <w:tcW w:w="1077" w:type="dxa"/>
            <w:vMerge w:val="restart"/>
            <w:vAlign w:val="center"/>
          </w:tcPr>
          <w:p>
            <w:pPr>
              <w:spacing w:line="320" w:lineRule="exact"/>
              <w:jc w:val="center"/>
              <w:rPr>
                <w:sz w:val="18"/>
                <w:szCs w:val="18"/>
              </w:rPr>
            </w:pPr>
            <w:r>
              <w:rPr>
                <w:rFonts w:hint="eastAsia"/>
                <w:sz w:val="18"/>
                <w:szCs w:val="18"/>
                <w:lang w:eastAsia="zh-CN"/>
              </w:rPr>
              <w:t>第</w:t>
            </w:r>
            <w:r>
              <w:rPr>
                <w:rFonts w:hint="eastAsia"/>
                <w:sz w:val="18"/>
                <w:szCs w:val="18"/>
              </w:rPr>
              <w:t>5</w:t>
            </w:r>
            <w:r>
              <w:rPr>
                <w:rFonts w:hint="eastAsia"/>
                <w:sz w:val="18"/>
                <w:szCs w:val="18"/>
                <w:lang w:val="en-US" w:eastAsia="zh-CN"/>
              </w:rPr>
              <w:t>~</w:t>
            </w:r>
            <w:r>
              <w:rPr>
                <w:sz w:val="18"/>
                <w:szCs w:val="18"/>
              </w:rPr>
              <w:t>6学期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毕业论文</w:t>
            </w:r>
          </w:p>
        </w:tc>
        <w:tc>
          <w:tcPr>
            <w:tcW w:w="1059" w:type="dxa"/>
            <w:vAlign w:val="center"/>
          </w:tcPr>
          <w:p>
            <w:pPr>
              <w:spacing w:line="320" w:lineRule="exact"/>
              <w:jc w:val="center"/>
              <w:rPr>
                <w:sz w:val="18"/>
                <w:szCs w:val="18"/>
              </w:rPr>
            </w:pPr>
            <w:r>
              <w:rPr>
                <w:sz w:val="18"/>
                <w:szCs w:val="18"/>
              </w:rPr>
              <w:t>（8.0）</w:t>
            </w:r>
          </w:p>
        </w:tc>
        <w:tc>
          <w:tcPr>
            <w:tcW w:w="1122" w:type="dxa"/>
            <w:vAlign w:val="center"/>
          </w:tcPr>
          <w:p>
            <w:pPr>
              <w:spacing w:line="320" w:lineRule="exact"/>
              <w:jc w:val="center"/>
              <w:rPr>
                <w:rFonts w:hint="eastAsia"/>
                <w:sz w:val="18"/>
                <w:szCs w:val="18"/>
              </w:rPr>
            </w:pPr>
            <w:r>
              <w:rPr>
                <w:rFonts w:hint="eastAsia"/>
                <w:sz w:val="18"/>
                <w:szCs w:val="18"/>
              </w:rPr>
              <w:t>（</w:t>
            </w:r>
            <w:r>
              <w:rPr>
                <w:sz w:val="18"/>
                <w:szCs w:val="18"/>
              </w:rPr>
              <w:t>1.0</w:t>
            </w:r>
            <w:r>
              <w:rPr>
                <w:rFonts w:hint="eastAsia"/>
                <w:sz w:val="18"/>
                <w:szCs w:val="18"/>
              </w:rPr>
              <w:t>）</w:t>
            </w:r>
          </w:p>
        </w:tc>
        <w:tc>
          <w:tcPr>
            <w:tcW w:w="1077"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jc w:val="center"/>
              <w:rPr>
                <w:sz w:val="18"/>
                <w:szCs w:val="18"/>
              </w:rPr>
            </w:pPr>
            <w:r>
              <w:rPr>
                <w:sz w:val="18"/>
                <w:szCs w:val="18"/>
              </w:rPr>
              <w:t xml:space="preserve">小 </w:t>
            </w:r>
            <w:r>
              <w:rPr>
                <w:rFonts w:hint="eastAsia"/>
                <w:sz w:val="18"/>
                <w:szCs w:val="18"/>
              </w:rPr>
              <w:t xml:space="preserve">       </w:t>
            </w:r>
            <w:r>
              <w:rPr>
                <w:sz w:val="18"/>
                <w:szCs w:val="18"/>
              </w:rPr>
              <w:t xml:space="preserve"> 计</w:t>
            </w:r>
          </w:p>
        </w:tc>
        <w:tc>
          <w:tcPr>
            <w:tcW w:w="1059" w:type="dxa"/>
            <w:vAlign w:val="center"/>
          </w:tcPr>
          <w:p>
            <w:pPr>
              <w:jc w:val="center"/>
              <w:rPr>
                <w:sz w:val="18"/>
                <w:szCs w:val="18"/>
              </w:rPr>
            </w:pPr>
          </w:p>
        </w:tc>
        <w:tc>
          <w:tcPr>
            <w:tcW w:w="1122" w:type="dxa"/>
            <w:vAlign w:val="center"/>
          </w:tcPr>
          <w:p>
            <w:pPr>
              <w:spacing w:line="320" w:lineRule="exact"/>
              <w:jc w:val="center"/>
              <w:rPr>
                <w:sz w:val="18"/>
                <w:szCs w:val="18"/>
              </w:rPr>
            </w:pPr>
            <w:r>
              <w:rPr>
                <w:rFonts w:hint="eastAsia"/>
                <w:sz w:val="18"/>
                <w:szCs w:val="18"/>
              </w:rPr>
              <w:t>35</w:t>
            </w:r>
            <w:r>
              <w:rPr>
                <w:sz w:val="18"/>
                <w:szCs w:val="18"/>
              </w:rPr>
              <w:t>.0</w:t>
            </w:r>
            <w:r>
              <w:rPr>
                <w:rFonts w:hint="eastAsia"/>
                <w:sz w:val="18"/>
                <w:szCs w:val="18"/>
              </w:rPr>
              <w:t>-</w:t>
            </w:r>
            <w:r>
              <w:rPr>
                <w:sz w:val="18"/>
                <w:szCs w:val="18"/>
              </w:rPr>
              <w:t>4</w:t>
            </w:r>
            <w:r>
              <w:rPr>
                <w:rFonts w:hint="eastAsia"/>
                <w:sz w:val="18"/>
                <w:szCs w:val="18"/>
              </w:rPr>
              <w:t>0</w:t>
            </w:r>
            <w:r>
              <w:rPr>
                <w:sz w:val="18"/>
                <w:szCs w:val="18"/>
              </w:rPr>
              <w:t>.0</w:t>
            </w:r>
          </w:p>
        </w:tc>
        <w:tc>
          <w:tcPr>
            <w:tcW w:w="1077" w:type="dxa"/>
            <w:vAlign w:val="center"/>
          </w:tcPr>
          <w:p>
            <w:pPr>
              <w:spacing w:line="320" w:lineRule="exact"/>
              <w:jc w:val="center"/>
              <w:rPr>
                <w:sz w:val="18"/>
                <w:szCs w:val="18"/>
              </w:rPr>
            </w:pPr>
            <w:r>
              <w:rPr>
                <w:rFonts w:hint="eastAsia"/>
                <w:sz w:val="18"/>
                <w:szCs w:val="18"/>
              </w:rPr>
              <w:t>4</w:t>
            </w:r>
            <w:r>
              <w:rPr>
                <w:rFonts w:hint="eastAsia"/>
                <w:sz w:val="18"/>
                <w:szCs w:val="18"/>
                <w:lang w:val="en-US" w:eastAsia="zh-CN"/>
              </w:rPr>
              <w:t>2.3</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5879" w:type="dxa"/>
            <w:gridSpan w:val="3"/>
            <w:vAlign w:val="center"/>
          </w:tcPr>
          <w:p>
            <w:pPr>
              <w:spacing w:line="320" w:lineRule="exact"/>
              <w:jc w:val="center"/>
              <w:rPr>
                <w:sz w:val="18"/>
                <w:szCs w:val="18"/>
              </w:rPr>
            </w:pPr>
            <w:r>
              <w:rPr>
                <w:rFonts w:hint="eastAsia"/>
                <w:sz w:val="18"/>
                <w:szCs w:val="18"/>
              </w:rPr>
              <w:t>合</w:t>
            </w:r>
            <w:r>
              <w:rPr>
                <w:sz w:val="18"/>
                <w:szCs w:val="18"/>
              </w:rPr>
              <w:t xml:space="preserve"> </w:t>
            </w:r>
            <w:r>
              <w:rPr>
                <w:rFonts w:hint="eastAsia"/>
                <w:sz w:val="18"/>
                <w:szCs w:val="18"/>
              </w:rPr>
              <w:t xml:space="preserve">       </w:t>
            </w:r>
            <w:r>
              <w:rPr>
                <w:sz w:val="18"/>
                <w:szCs w:val="18"/>
              </w:rPr>
              <w:t xml:space="preserve"> 计</w:t>
            </w:r>
          </w:p>
        </w:tc>
        <w:tc>
          <w:tcPr>
            <w:tcW w:w="1059" w:type="dxa"/>
            <w:vAlign w:val="center"/>
          </w:tcPr>
          <w:p>
            <w:pPr>
              <w:spacing w:line="320" w:lineRule="exact"/>
              <w:jc w:val="center"/>
              <w:rPr>
                <w:rFonts w:hint="eastAsia"/>
                <w:sz w:val="18"/>
                <w:szCs w:val="18"/>
              </w:rPr>
            </w:pPr>
            <w:r>
              <w:rPr>
                <w:rFonts w:hint="eastAsia"/>
                <w:sz w:val="18"/>
                <w:szCs w:val="18"/>
              </w:rPr>
              <w:t>2650</w:t>
            </w:r>
            <w:r>
              <w:rPr>
                <w:rFonts w:hint="eastAsia" w:ascii="宋体" w:hAnsi="宋体"/>
                <w:sz w:val="18"/>
                <w:szCs w:val="18"/>
              </w:rPr>
              <w:t>-</w:t>
            </w:r>
            <w:r>
              <w:rPr>
                <w:rFonts w:hint="eastAsia"/>
                <w:sz w:val="18"/>
                <w:szCs w:val="18"/>
              </w:rPr>
              <w:t>2800</w:t>
            </w:r>
          </w:p>
        </w:tc>
        <w:tc>
          <w:tcPr>
            <w:tcW w:w="1122" w:type="dxa"/>
            <w:vAlign w:val="center"/>
          </w:tcPr>
          <w:p>
            <w:pPr>
              <w:spacing w:line="320" w:lineRule="exact"/>
              <w:jc w:val="center"/>
              <w:rPr>
                <w:rFonts w:hint="eastAsia"/>
                <w:sz w:val="18"/>
                <w:szCs w:val="18"/>
              </w:rPr>
            </w:pPr>
            <w:r>
              <w:rPr>
                <w:rFonts w:hint="eastAsia"/>
                <w:sz w:val="18"/>
                <w:szCs w:val="18"/>
              </w:rPr>
              <w:t>115</w:t>
            </w:r>
            <w:r>
              <w:rPr>
                <w:sz w:val="18"/>
                <w:szCs w:val="18"/>
              </w:rPr>
              <w:t>.0</w:t>
            </w:r>
            <w:r>
              <w:rPr>
                <w:rFonts w:hint="eastAsia"/>
                <w:sz w:val="18"/>
                <w:szCs w:val="18"/>
              </w:rPr>
              <w:t>-120</w:t>
            </w:r>
            <w:r>
              <w:rPr>
                <w:sz w:val="18"/>
                <w:szCs w:val="18"/>
              </w:rPr>
              <w:t>.0</w:t>
            </w:r>
          </w:p>
        </w:tc>
        <w:tc>
          <w:tcPr>
            <w:tcW w:w="1077" w:type="dxa"/>
            <w:vAlign w:val="center"/>
          </w:tcPr>
          <w:p>
            <w:pPr>
              <w:jc w:val="center"/>
              <w:rPr>
                <w:sz w:val="18"/>
                <w:szCs w:val="18"/>
              </w:rPr>
            </w:pPr>
          </w:p>
        </w:tc>
      </w:tr>
    </w:tbl>
    <w:p>
      <w:pPr>
        <w:tabs>
          <w:tab w:val="left" w:pos="-4472"/>
        </w:tabs>
        <w:spacing w:line="320" w:lineRule="exact"/>
        <w:ind w:left="409" w:leftChars="0" w:hanging="409" w:hangingChars="195"/>
        <w:rPr>
          <w:rFonts w:hint="eastAsia" w:eastAsia="楷体_GB2312"/>
          <w:szCs w:val="21"/>
        </w:rPr>
      </w:pPr>
      <w:r>
        <w:rPr>
          <w:rFonts w:hint="eastAsia" w:ascii="黑体" w:eastAsia="黑体"/>
          <w:szCs w:val="21"/>
        </w:rPr>
        <w:t>注</w:t>
      </w:r>
      <w:r>
        <w:rPr>
          <w:rFonts w:hint="eastAsia" w:eastAsia="楷体_GB2312"/>
          <w:szCs w:val="21"/>
        </w:rPr>
        <w:t>：</w:t>
      </w:r>
      <w:r>
        <w:rPr>
          <w:rFonts w:hint="eastAsia" w:eastAsia="楷体_GB2312"/>
          <w:szCs w:val="21"/>
          <w:lang w:val="en-US" w:eastAsia="zh-CN"/>
        </w:rPr>
        <w:t>1.</w:t>
      </w:r>
      <w:r>
        <w:rPr>
          <w:rFonts w:hint="eastAsia" w:eastAsia="楷体_GB2312"/>
          <w:szCs w:val="21"/>
        </w:rPr>
        <w:t>实践学习课程每周按30学时统计，计算1学分。带</w:t>
      </w:r>
      <w:r>
        <w:rPr>
          <w:rFonts w:hint="eastAsia"/>
          <w:b/>
          <w:spacing w:val="-8"/>
          <w:szCs w:val="21"/>
        </w:rPr>
        <w:t>*</w:t>
      </w:r>
      <w:r>
        <w:rPr>
          <w:rFonts w:hint="eastAsia" w:eastAsia="楷体_GB2312"/>
          <w:szCs w:val="21"/>
        </w:rPr>
        <w:t>者为专业核心课程。各学校可根据本校实际适当调整拓展学习领域课程。</w:t>
      </w:r>
    </w:p>
    <w:p>
      <w:pPr>
        <w:tabs>
          <w:tab w:val="left" w:pos="-4472"/>
        </w:tabs>
        <w:spacing w:line="320" w:lineRule="exact"/>
        <w:ind w:left="420" w:leftChars="200" w:firstLine="8" w:firstLineChars="0"/>
        <w:rPr>
          <w:rFonts w:hint="eastAsia" w:eastAsia="楷体_GB2312"/>
          <w:szCs w:val="21"/>
        </w:rPr>
      </w:pPr>
      <w:r>
        <w:rPr>
          <w:rFonts w:hint="eastAsia" w:eastAsia="楷体_GB2312"/>
          <w:szCs w:val="21"/>
          <w:lang w:val="en-US" w:eastAsia="zh-CN"/>
        </w:rPr>
        <w:t>2.带括号的学分对应的课程为教学环节，学分不计入总分。</w:t>
      </w:r>
    </w:p>
    <w:p>
      <w:pPr>
        <w:spacing w:line="360" w:lineRule="exact"/>
        <w:ind w:firstLine="422" w:firstLineChars="200"/>
        <w:rPr>
          <w:rFonts w:hint="eastAsia" w:ascii="宋体" w:hAnsi="宋体"/>
          <w:b/>
          <w:bCs/>
          <w:szCs w:val="21"/>
        </w:rPr>
      </w:pPr>
      <w:r>
        <w:rPr>
          <w:rFonts w:hint="eastAsia" w:ascii="宋体" w:hAnsi="宋体"/>
          <w:b/>
          <w:bCs/>
          <w:szCs w:val="21"/>
        </w:rPr>
        <w:t>二、专业核心课程简介</w:t>
      </w:r>
    </w:p>
    <w:p>
      <w:pPr>
        <w:spacing w:line="360" w:lineRule="exact"/>
        <w:ind w:firstLine="420" w:firstLineChars="200"/>
        <w:rPr>
          <w:rFonts w:hint="eastAsia" w:ascii="宋体" w:hAnsi="宋体"/>
          <w:szCs w:val="21"/>
        </w:rPr>
      </w:pPr>
      <w:r>
        <w:rPr>
          <w:rFonts w:hint="eastAsia" w:ascii="宋体" w:hAnsi="宋体"/>
          <w:szCs w:val="21"/>
        </w:rPr>
        <w:t>园艺技术专业核心课程由</w:t>
      </w:r>
      <w:r>
        <w:rPr>
          <w:rFonts w:hint="eastAsia" w:ascii="宋体" w:hAnsi="宋体"/>
          <w:szCs w:val="21"/>
          <w:lang w:eastAsia="zh-CN"/>
        </w:rPr>
        <w:t>“</w:t>
      </w:r>
      <w:r>
        <w:rPr>
          <w:rFonts w:hint="eastAsia" w:ascii="宋体" w:hAnsi="宋体"/>
          <w:szCs w:val="21"/>
        </w:rPr>
        <w:t>植物生长与环境</w:t>
      </w:r>
      <w:r>
        <w:rPr>
          <w:spacing w:val="-8"/>
          <w:szCs w:val="21"/>
        </w:rPr>
        <w:t>（植物</w:t>
      </w:r>
      <w:r>
        <w:rPr>
          <w:rFonts w:hint="eastAsia"/>
          <w:spacing w:val="-8"/>
          <w:szCs w:val="21"/>
          <w:lang w:eastAsia="zh-CN"/>
        </w:rPr>
        <w:t>、</w:t>
      </w:r>
      <w:r>
        <w:rPr>
          <w:spacing w:val="-8"/>
          <w:szCs w:val="21"/>
        </w:rPr>
        <w:t>生理</w:t>
      </w:r>
      <w:r>
        <w:rPr>
          <w:rFonts w:hint="eastAsia"/>
          <w:spacing w:val="-8"/>
          <w:szCs w:val="21"/>
          <w:lang w:eastAsia="zh-CN"/>
        </w:rPr>
        <w:t>、</w:t>
      </w:r>
      <w:r>
        <w:rPr>
          <w:spacing w:val="-8"/>
          <w:szCs w:val="21"/>
        </w:rPr>
        <w:t>土壤</w:t>
      </w:r>
      <w:r>
        <w:rPr>
          <w:rFonts w:hint="eastAsia"/>
          <w:spacing w:val="-8"/>
          <w:szCs w:val="21"/>
          <w:lang w:eastAsia="zh-CN"/>
        </w:rPr>
        <w:t>、</w:t>
      </w:r>
      <w:r>
        <w:rPr>
          <w:spacing w:val="-8"/>
          <w:szCs w:val="21"/>
        </w:rPr>
        <w:t>肥料</w:t>
      </w:r>
      <w:r>
        <w:rPr>
          <w:rFonts w:hint="eastAsia"/>
          <w:spacing w:val="-8"/>
          <w:szCs w:val="21"/>
          <w:lang w:eastAsia="zh-CN"/>
        </w:rPr>
        <w:t>、</w:t>
      </w:r>
      <w:r>
        <w:rPr>
          <w:spacing w:val="-8"/>
          <w:szCs w:val="21"/>
        </w:rPr>
        <w:t>气象）</w:t>
      </w:r>
      <w:r>
        <w:rPr>
          <w:rFonts w:hint="eastAsia"/>
          <w:spacing w:val="-8"/>
          <w:szCs w:val="21"/>
          <w:lang w:eastAsia="zh-CN"/>
        </w:rPr>
        <w:t>”、“</w:t>
      </w:r>
      <w:r>
        <w:rPr>
          <w:rFonts w:hint="eastAsia" w:ascii="宋体" w:hAnsi="宋体"/>
          <w:szCs w:val="21"/>
        </w:rPr>
        <w:t>蔬菜栽培</w:t>
      </w:r>
      <w:r>
        <w:rPr>
          <w:rFonts w:hint="eastAsia" w:ascii="宋体" w:hAnsi="宋体"/>
          <w:szCs w:val="21"/>
          <w:lang w:eastAsia="zh-CN"/>
        </w:rPr>
        <w:t>”</w:t>
      </w:r>
      <w:r>
        <w:rPr>
          <w:rFonts w:hint="eastAsia" w:ascii="宋体" w:hAnsi="宋体"/>
          <w:szCs w:val="21"/>
        </w:rPr>
        <w:t>、</w:t>
      </w:r>
      <w:r>
        <w:rPr>
          <w:rFonts w:hint="eastAsia" w:ascii="宋体" w:hAnsi="宋体"/>
          <w:szCs w:val="21"/>
          <w:lang w:eastAsia="zh-CN"/>
        </w:rPr>
        <w:t>“果树栽培”</w:t>
      </w:r>
      <w:r>
        <w:rPr>
          <w:rFonts w:hint="eastAsia" w:ascii="宋体" w:hAnsi="宋体"/>
          <w:szCs w:val="21"/>
        </w:rPr>
        <w:t>、</w:t>
      </w:r>
      <w:r>
        <w:rPr>
          <w:rFonts w:hint="eastAsia" w:ascii="宋体" w:hAnsi="宋体"/>
          <w:szCs w:val="21"/>
          <w:lang w:eastAsia="zh-CN"/>
        </w:rPr>
        <w:t>“花卉栽培”</w:t>
      </w:r>
      <w:r>
        <w:rPr>
          <w:rFonts w:hint="eastAsia" w:ascii="宋体" w:hAnsi="宋体"/>
          <w:szCs w:val="21"/>
        </w:rPr>
        <w:t>、园艺植物病虫害防治五门课组成。</w:t>
      </w:r>
    </w:p>
    <w:p>
      <w:pPr>
        <w:numPr>
          <w:ilvl w:val="0"/>
          <w:numId w:val="2"/>
        </w:numPr>
        <w:spacing w:line="360" w:lineRule="exact"/>
        <w:ind w:firstLine="420" w:firstLineChars="200"/>
        <w:rPr>
          <w:rFonts w:hint="eastAsia" w:ascii="宋体" w:hAnsi="宋体"/>
          <w:szCs w:val="21"/>
        </w:rPr>
      </w:pPr>
      <w:r>
        <w:rPr>
          <w:rFonts w:hint="eastAsia" w:ascii="宋体" w:hAnsi="宋体"/>
          <w:szCs w:val="21"/>
        </w:rPr>
        <w:t>植物生长与环境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通过本课程学习能理解</w:t>
      </w:r>
      <w:r>
        <w:rPr>
          <w:rFonts w:ascii="宋体" w:hAnsi="宋体"/>
          <w:szCs w:val="21"/>
        </w:rPr>
        <w:t>植物生长发育的</w:t>
      </w:r>
      <w:r>
        <w:rPr>
          <w:rFonts w:hint="eastAsia" w:ascii="宋体" w:hAnsi="宋体"/>
          <w:szCs w:val="21"/>
        </w:rPr>
        <w:t>现象，</w:t>
      </w:r>
      <w:r>
        <w:rPr>
          <w:rFonts w:ascii="宋体" w:hAnsi="宋体"/>
          <w:szCs w:val="21"/>
        </w:rPr>
        <w:t>熟悉植物生长的基本原理和基本过程</w:t>
      </w:r>
      <w:r>
        <w:rPr>
          <w:rFonts w:hint="eastAsia" w:ascii="宋体" w:hAnsi="宋体"/>
          <w:szCs w:val="21"/>
        </w:rPr>
        <w:t>，</w:t>
      </w:r>
      <w:r>
        <w:rPr>
          <w:rFonts w:ascii="宋体" w:hAnsi="宋体"/>
          <w:szCs w:val="21"/>
        </w:rPr>
        <w:t>能够</w:t>
      </w:r>
      <w:r>
        <w:rPr>
          <w:rFonts w:hint="eastAsia" w:ascii="宋体" w:hAnsi="宋体"/>
          <w:szCs w:val="21"/>
        </w:rPr>
        <w:t>控制</w:t>
      </w:r>
      <w:r>
        <w:rPr>
          <w:rFonts w:ascii="宋体" w:hAnsi="宋体"/>
          <w:szCs w:val="21"/>
        </w:rPr>
        <w:t>生长环境（水，肥，气，热，土）</w:t>
      </w:r>
      <w:r>
        <w:rPr>
          <w:rFonts w:hint="eastAsia" w:ascii="宋体" w:hAnsi="宋体"/>
          <w:szCs w:val="21"/>
        </w:rPr>
        <w:t>，</w:t>
      </w:r>
      <w:r>
        <w:rPr>
          <w:rFonts w:ascii="宋体" w:hAnsi="宋体"/>
          <w:szCs w:val="21"/>
        </w:rPr>
        <w:t>调节植物的生长发育。</w:t>
      </w:r>
      <w:r>
        <w:rPr>
          <w:rFonts w:hint="eastAsia" w:ascii="宋体" w:hAnsi="宋体"/>
          <w:szCs w:val="21"/>
        </w:rPr>
        <w:t>具体</w:t>
      </w:r>
      <w:r>
        <w:rPr>
          <w:rFonts w:ascii="宋体" w:hAnsi="宋体"/>
          <w:szCs w:val="21"/>
        </w:rPr>
        <w:t>学习内容</w:t>
      </w:r>
      <w:r>
        <w:rPr>
          <w:rFonts w:hint="eastAsia" w:ascii="宋体" w:hAnsi="宋体"/>
          <w:szCs w:val="21"/>
        </w:rPr>
        <w:t>包括</w:t>
      </w:r>
      <w:r>
        <w:rPr>
          <w:rFonts w:ascii="宋体" w:hAnsi="宋体"/>
          <w:szCs w:val="21"/>
        </w:rPr>
        <w:t>植物组成（细胞结构，植物组织，植物器官）</w:t>
      </w:r>
      <w:r>
        <w:rPr>
          <w:rFonts w:hint="eastAsia" w:ascii="宋体" w:hAnsi="宋体"/>
          <w:szCs w:val="21"/>
        </w:rPr>
        <w:t>、</w:t>
      </w:r>
      <w:r>
        <w:rPr>
          <w:rFonts w:ascii="宋体" w:hAnsi="宋体"/>
          <w:szCs w:val="21"/>
        </w:rPr>
        <w:t>植物生理（光合作用，呼吸作用，植物体内有机物的运输与分配）</w:t>
      </w:r>
      <w:r>
        <w:rPr>
          <w:rFonts w:hint="eastAsia" w:ascii="宋体" w:hAnsi="宋体"/>
          <w:szCs w:val="21"/>
        </w:rPr>
        <w:t>、</w:t>
      </w:r>
      <w:r>
        <w:rPr>
          <w:rFonts w:ascii="宋体" w:hAnsi="宋体"/>
          <w:szCs w:val="21"/>
        </w:rPr>
        <w:t>植物生长发育（植物激素，种子生理，生长分化，生殖衰老）</w:t>
      </w:r>
      <w:r>
        <w:rPr>
          <w:rFonts w:hint="eastAsia" w:ascii="宋体" w:hAnsi="宋体"/>
          <w:szCs w:val="21"/>
        </w:rPr>
        <w:t>和</w:t>
      </w:r>
      <w:r>
        <w:rPr>
          <w:rFonts w:ascii="宋体" w:hAnsi="宋体"/>
          <w:szCs w:val="21"/>
        </w:rPr>
        <w:t>植物生长与环境的关系（植物生长与水分，植物生长与土壤，植物生长与温度，植物生长与气候，植物生长与营养）</w:t>
      </w:r>
      <w:r>
        <w:rPr>
          <w:rFonts w:hint="eastAsia" w:ascii="宋体" w:hAnsi="宋体"/>
          <w:szCs w:val="21"/>
        </w:rPr>
        <w:t>等。</w:t>
      </w:r>
    </w:p>
    <w:p>
      <w:pPr>
        <w:numPr>
          <w:ilvl w:val="0"/>
          <w:numId w:val="2"/>
        </w:numPr>
        <w:spacing w:line="360" w:lineRule="exact"/>
        <w:ind w:left="0" w:leftChars="0" w:firstLine="420" w:firstLineChars="200"/>
        <w:rPr>
          <w:rFonts w:ascii="宋体" w:hAnsi="宋体"/>
          <w:szCs w:val="21"/>
        </w:rPr>
      </w:pPr>
      <w:r>
        <w:rPr>
          <w:rFonts w:ascii="宋体" w:hAnsi="宋体"/>
          <w:szCs w:val="21"/>
        </w:rPr>
        <w:t>蔬菜栽培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通过本课程学习掌握</w:t>
      </w:r>
      <w:r>
        <w:rPr>
          <w:rFonts w:ascii="宋体" w:hAnsi="宋体"/>
          <w:szCs w:val="21"/>
        </w:rPr>
        <w:t>当前蔬菜产业的发展现状及发展</w:t>
      </w:r>
      <w:r>
        <w:rPr>
          <w:rFonts w:hint="eastAsia" w:ascii="宋体" w:hAnsi="宋体"/>
          <w:szCs w:val="21"/>
        </w:rPr>
        <w:t>趋势；</w:t>
      </w:r>
      <w:r>
        <w:rPr>
          <w:rFonts w:ascii="宋体" w:hAnsi="宋体"/>
          <w:szCs w:val="21"/>
        </w:rPr>
        <w:t>能够识别常见蔬菜并</w:t>
      </w:r>
      <w:r>
        <w:rPr>
          <w:rFonts w:hint="eastAsia" w:ascii="宋体" w:hAnsi="宋体"/>
          <w:szCs w:val="21"/>
        </w:rPr>
        <w:t>知道</w:t>
      </w:r>
      <w:r>
        <w:rPr>
          <w:rFonts w:ascii="宋体" w:hAnsi="宋体"/>
          <w:szCs w:val="21"/>
        </w:rPr>
        <w:t>其分类地位</w:t>
      </w:r>
      <w:r>
        <w:rPr>
          <w:rFonts w:hint="eastAsia" w:ascii="宋体" w:hAnsi="宋体"/>
          <w:szCs w:val="21"/>
        </w:rPr>
        <w:t>，</w:t>
      </w:r>
      <w:r>
        <w:rPr>
          <w:rFonts w:ascii="宋体" w:hAnsi="宋体"/>
          <w:szCs w:val="21"/>
        </w:rPr>
        <w:t>能够根据蔬菜的生长发育规律及其对环境条件的要求，制定蔬菜生产计划</w:t>
      </w:r>
      <w:r>
        <w:rPr>
          <w:rFonts w:hint="eastAsia" w:ascii="宋体" w:hAnsi="宋体"/>
          <w:szCs w:val="21"/>
        </w:rPr>
        <w:t>；</w:t>
      </w:r>
      <w:r>
        <w:rPr>
          <w:rFonts w:ascii="宋体" w:hAnsi="宋体"/>
          <w:szCs w:val="21"/>
        </w:rPr>
        <w:t>能够独立完成露地蔬菜的栽培管理</w:t>
      </w:r>
      <w:r>
        <w:rPr>
          <w:rFonts w:hint="eastAsia" w:ascii="宋体" w:hAnsi="宋体"/>
          <w:szCs w:val="21"/>
        </w:rPr>
        <w:t>；</w:t>
      </w:r>
      <w:r>
        <w:rPr>
          <w:rFonts w:ascii="宋体" w:hAnsi="宋体"/>
          <w:szCs w:val="21"/>
        </w:rPr>
        <w:t>能够独立完成设施蔬菜的栽培管理。</w:t>
      </w:r>
      <w:r>
        <w:rPr>
          <w:rFonts w:hint="eastAsia" w:ascii="宋体" w:hAnsi="宋体"/>
          <w:szCs w:val="21"/>
        </w:rPr>
        <w:t>具体</w:t>
      </w:r>
      <w:r>
        <w:rPr>
          <w:rFonts w:ascii="宋体" w:hAnsi="宋体"/>
          <w:szCs w:val="21"/>
        </w:rPr>
        <w:t>学习内容</w:t>
      </w:r>
      <w:r>
        <w:rPr>
          <w:rFonts w:hint="eastAsia" w:ascii="宋体" w:hAnsi="宋体"/>
          <w:szCs w:val="21"/>
        </w:rPr>
        <w:t>包括</w:t>
      </w:r>
      <w:r>
        <w:rPr>
          <w:rFonts w:ascii="宋体" w:hAnsi="宋体"/>
          <w:szCs w:val="21"/>
        </w:rPr>
        <w:t>蔬菜产业的发展现状及</w:t>
      </w:r>
      <w:r>
        <w:rPr>
          <w:rFonts w:hint="eastAsia" w:ascii="宋体" w:hAnsi="宋体"/>
          <w:szCs w:val="21"/>
        </w:rPr>
        <w:t>趋势、</w:t>
      </w:r>
      <w:r>
        <w:rPr>
          <w:rFonts w:ascii="宋体" w:hAnsi="宋体"/>
          <w:szCs w:val="21"/>
        </w:rPr>
        <w:t>常见蔬菜的生长发育规律及对环境条件的要求</w:t>
      </w:r>
      <w:r>
        <w:rPr>
          <w:rFonts w:hint="eastAsia" w:ascii="宋体" w:hAnsi="宋体"/>
          <w:szCs w:val="21"/>
        </w:rPr>
        <w:t>、</w:t>
      </w:r>
      <w:r>
        <w:rPr>
          <w:rFonts w:ascii="宋体" w:hAnsi="宋体"/>
          <w:szCs w:val="21"/>
        </w:rPr>
        <w:t>蔬菜栽培制度</w:t>
      </w:r>
      <w:r>
        <w:rPr>
          <w:rFonts w:hint="eastAsia" w:ascii="宋体" w:hAnsi="宋体"/>
          <w:szCs w:val="21"/>
        </w:rPr>
        <w:t>、</w:t>
      </w:r>
      <w:r>
        <w:rPr>
          <w:rFonts w:ascii="宋体" w:hAnsi="宋体"/>
          <w:szCs w:val="21"/>
        </w:rPr>
        <w:t>蔬菜育苗技术</w:t>
      </w:r>
      <w:r>
        <w:rPr>
          <w:rFonts w:hint="eastAsia" w:ascii="宋体" w:hAnsi="宋体"/>
          <w:szCs w:val="21"/>
        </w:rPr>
        <w:t>、</w:t>
      </w:r>
      <w:r>
        <w:rPr>
          <w:rFonts w:ascii="宋体" w:hAnsi="宋体"/>
          <w:szCs w:val="21"/>
        </w:rPr>
        <w:t>蔬菜整地、做畦、播种、定植技术</w:t>
      </w:r>
      <w:r>
        <w:rPr>
          <w:rFonts w:hint="eastAsia" w:ascii="宋体" w:hAnsi="宋体"/>
          <w:szCs w:val="21"/>
        </w:rPr>
        <w:t>、</w:t>
      </w:r>
      <w:r>
        <w:rPr>
          <w:rFonts w:ascii="宋体" w:hAnsi="宋体"/>
          <w:szCs w:val="21"/>
        </w:rPr>
        <w:t>露地蔬菜无公害高产高效栽培技术</w:t>
      </w:r>
      <w:r>
        <w:rPr>
          <w:rFonts w:hint="eastAsia" w:ascii="宋体" w:hAnsi="宋体"/>
          <w:szCs w:val="21"/>
        </w:rPr>
        <w:t>和</w:t>
      </w:r>
      <w:r>
        <w:rPr>
          <w:rFonts w:ascii="宋体" w:hAnsi="宋体"/>
          <w:szCs w:val="21"/>
        </w:rPr>
        <w:t>设施蔬菜无公害高产高效栽培技术</w:t>
      </w:r>
      <w:r>
        <w:rPr>
          <w:rFonts w:hint="eastAsia" w:ascii="宋体" w:hAnsi="宋体"/>
          <w:szCs w:val="21"/>
        </w:rPr>
        <w:t>等</w:t>
      </w:r>
      <w:r>
        <w:rPr>
          <w:rFonts w:ascii="宋体" w:hAnsi="宋体"/>
          <w:szCs w:val="21"/>
        </w:rPr>
        <w:t>。</w:t>
      </w:r>
    </w:p>
    <w:p>
      <w:pPr>
        <w:numPr>
          <w:ilvl w:val="0"/>
          <w:numId w:val="2"/>
        </w:numPr>
        <w:spacing w:line="360" w:lineRule="exact"/>
        <w:ind w:left="0" w:leftChars="0" w:firstLine="420" w:firstLineChars="200"/>
        <w:rPr>
          <w:rFonts w:hint="eastAsia" w:ascii="宋体" w:hAnsi="宋体"/>
          <w:szCs w:val="21"/>
        </w:rPr>
      </w:pPr>
      <w:r>
        <w:rPr>
          <w:rFonts w:hint="eastAsia" w:ascii="宋体" w:hAnsi="宋体"/>
          <w:szCs w:val="21"/>
        </w:rPr>
        <w:t>果树栽培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通过本课程学习</w:t>
      </w:r>
      <w:r>
        <w:rPr>
          <w:rFonts w:ascii="宋体" w:hAnsi="宋体"/>
          <w:szCs w:val="21"/>
        </w:rPr>
        <w:t>能够正确识别当地主要栽培的果树树种</w:t>
      </w:r>
      <w:r>
        <w:rPr>
          <w:rFonts w:hint="eastAsia" w:ascii="宋体" w:hAnsi="宋体"/>
          <w:szCs w:val="21"/>
        </w:rPr>
        <w:t>；</w:t>
      </w:r>
      <w:r>
        <w:rPr>
          <w:rFonts w:ascii="宋体" w:hAnsi="宋体"/>
          <w:szCs w:val="21"/>
        </w:rPr>
        <w:t>能够独立制定当地主要果树的周年生产计划，并能组织实施，会建立果园管理档案</w:t>
      </w:r>
      <w:r>
        <w:rPr>
          <w:rFonts w:hint="eastAsia" w:ascii="宋体" w:hAnsi="宋体"/>
          <w:szCs w:val="21"/>
        </w:rPr>
        <w:t>；</w:t>
      </w:r>
      <w:r>
        <w:rPr>
          <w:rFonts w:ascii="宋体" w:hAnsi="宋体"/>
          <w:szCs w:val="21"/>
        </w:rPr>
        <w:t>会根据不同果树树种及其物候期，正确进行果树的栽植、整形修剪技术、土肥水管理、花果管理</w:t>
      </w:r>
      <w:r>
        <w:rPr>
          <w:rFonts w:hint="eastAsia" w:ascii="宋体" w:hAnsi="宋体"/>
          <w:szCs w:val="21"/>
        </w:rPr>
        <w:t>；</w:t>
      </w:r>
      <w:r>
        <w:rPr>
          <w:rFonts w:ascii="宋体" w:hAnsi="宋体"/>
          <w:szCs w:val="21"/>
        </w:rPr>
        <w:t>能独立进行北方落叶果树中苹果、桃、葡萄等树种的生产管理</w:t>
      </w:r>
      <w:r>
        <w:rPr>
          <w:rFonts w:hint="eastAsia" w:ascii="宋体" w:hAnsi="宋体"/>
          <w:szCs w:val="21"/>
        </w:rPr>
        <w:t>；</w:t>
      </w:r>
      <w:r>
        <w:rPr>
          <w:rFonts w:ascii="宋体" w:hAnsi="宋体"/>
          <w:szCs w:val="21"/>
        </w:rPr>
        <w:t>能运用设施果树生产中各项关键技术正确进行设施果树生产。</w:t>
      </w:r>
      <w:r>
        <w:rPr>
          <w:rFonts w:hint="eastAsia" w:ascii="宋体" w:hAnsi="宋体"/>
          <w:szCs w:val="21"/>
        </w:rPr>
        <w:t>具体</w:t>
      </w:r>
      <w:r>
        <w:rPr>
          <w:rFonts w:ascii="宋体" w:hAnsi="宋体"/>
          <w:szCs w:val="21"/>
        </w:rPr>
        <w:t>学习内容</w:t>
      </w:r>
      <w:r>
        <w:rPr>
          <w:rFonts w:hint="eastAsia" w:ascii="宋体" w:hAnsi="宋体"/>
          <w:szCs w:val="21"/>
        </w:rPr>
        <w:t>包括</w:t>
      </w:r>
      <w:r>
        <w:rPr>
          <w:rFonts w:ascii="宋体" w:hAnsi="宋体"/>
          <w:szCs w:val="21"/>
        </w:rPr>
        <w:t>果树的分类方法及区划</w:t>
      </w:r>
      <w:r>
        <w:rPr>
          <w:rFonts w:hint="eastAsia" w:ascii="宋体" w:hAnsi="宋体"/>
          <w:szCs w:val="21"/>
        </w:rPr>
        <w:t>、</w:t>
      </w:r>
      <w:r>
        <w:rPr>
          <w:rFonts w:ascii="宋体" w:hAnsi="宋体"/>
          <w:szCs w:val="21"/>
        </w:rPr>
        <w:t>果树生长发育规律及与果树栽培技术措施的关系</w:t>
      </w:r>
      <w:r>
        <w:rPr>
          <w:rFonts w:hint="eastAsia" w:ascii="宋体" w:hAnsi="宋体"/>
          <w:szCs w:val="21"/>
        </w:rPr>
        <w:t>、</w:t>
      </w:r>
      <w:r>
        <w:rPr>
          <w:rFonts w:ascii="宋体" w:hAnsi="宋体"/>
          <w:szCs w:val="21"/>
        </w:rPr>
        <w:t>果树的建园技术</w:t>
      </w:r>
      <w:r>
        <w:rPr>
          <w:rFonts w:hint="eastAsia" w:ascii="宋体" w:hAnsi="宋体"/>
          <w:szCs w:val="21"/>
        </w:rPr>
        <w:t>、</w:t>
      </w:r>
      <w:r>
        <w:rPr>
          <w:rFonts w:ascii="宋体" w:hAnsi="宋体"/>
          <w:szCs w:val="21"/>
        </w:rPr>
        <w:t>果园土肥水管理技术</w:t>
      </w:r>
      <w:r>
        <w:rPr>
          <w:rFonts w:hint="eastAsia" w:ascii="宋体" w:hAnsi="宋体"/>
          <w:szCs w:val="21"/>
        </w:rPr>
        <w:t>、</w:t>
      </w:r>
      <w:r>
        <w:rPr>
          <w:rFonts w:ascii="宋体" w:hAnsi="宋体"/>
          <w:szCs w:val="21"/>
        </w:rPr>
        <w:t>果树春、夏、秋、冬修剪技术</w:t>
      </w:r>
      <w:r>
        <w:rPr>
          <w:rFonts w:hint="eastAsia" w:ascii="宋体" w:hAnsi="宋体"/>
          <w:szCs w:val="21"/>
        </w:rPr>
        <w:t>、</w:t>
      </w:r>
      <w:r>
        <w:rPr>
          <w:rFonts w:ascii="宋体" w:hAnsi="宋体"/>
          <w:szCs w:val="21"/>
        </w:rPr>
        <w:t>果树的花果管理技术</w:t>
      </w:r>
      <w:r>
        <w:rPr>
          <w:rFonts w:hint="eastAsia" w:ascii="宋体" w:hAnsi="宋体"/>
          <w:szCs w:val="21"/>
        </w:rPr>
        <w:t>、</w:t>
      </w:r>
      <w:r>
        <w:rPr>
          <w:rFonts w:ascii="宋体" w:hAnsi="宋体"/>
          <w:szCs w:val="21"/>
        </w:rPr>
        <w:t>果树树体防寒技术</w:t>
      </w:r>
      <w:r>
        <w:rPr>
          <w:rFonts w:hint="eastAsia" w:ascii="宋体" w:hAnsi="宋体"/>
          <w:szCs w:val="21"/>
        </w:rPr>
        <w:t>、</w:t>
      </w:r>
      <w:r>
        <w:rPr>
          <w:rFonts w:ascii="宋体" w:hAnsi="宋体"/>
          <w:szCs w:val="21"/>
        </w:rPr>
        <w:t>主要露地果树的无公害高产高效栽培技术</w:t>
      </w:r>
      <w:r>
        <w:rPr>
          <w:rFonts w:hint="eastAsia" w:ascii="宋体" w:hAnsi="宋体"/>
          <w:szCs w:val="21"/>
        </w:rPr>
        <w:t>和</w:t>
      </w:r>
      <w:r>
        <w:rPr>
          <w:rFonts w:ascii="宋体" w:hAnsi="宋体"/>
          <w:szCs w:val="21"/>
        </w:rPr>
        <w:t>主要保护地果树的无公害高产高效栽培技术</w:t>
      </w:r>
      <w:r>
        <w:rPr>
          <w:rFonts w:hint="eastAsia" w:ascii="宋体" w:hAnsi="宋体"/>
          <w:szCs w:val="21"/>
        </w:rPr>
        <w:t>等</w:t>
      </w:r>
      <w:r>
        <w:rPr>
          <w:rFonts w:ascii="宋体" w:hAnsi="宋体"/>
          <w:szCs w:val="21"/>
        </w:rPr>
        <w:t>。</w:t>
      </w:r>
    </w:p>
    <w:p>
      <w:pPr>
        <w:numPr>
          <w:ilvl w:val="0"/>
          <w:numId w:val="2"/>
        </w:numPr>
        <w:spacing w:line="360" w:lineRule="exact"/>
        <w:ind w:left="0" w:leftChars="0" w:firstLine="420" w:firstLineChars="200"/>
        <w:rPr>
          <w:rFonts w:hint="eastAsia" w:ascii="宋体" w:hAnsi="宋体"/>
          <w:szCs w:val="21"/>
        </w:rPr>
      </w:pPr>
      <w:r>
        <w:rPr>
          <w:rFonts w:hint="eastAsia" w:ascii="宋体" w:hAnsi="宋体"/>
          <w:szCs w:val="21"/>
        </w:rPr>
        <w:t>花卉栽培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w:t>
      </w:r>
      <w:r>
        <w:rPr>
          <w:rFonts w:ascii="宋体" w:hAnsi="宋体"/>
          <w:szCs w:val="21"/>
        </w:rPr>
        <w:t>学习能够正确识别</w:t>
      </w:r>
      <w:r>
        <w:rPr>
          <w:rFonts w:hint="eastAsia" w:ascii="宋体" w:hAnsi="宋体"/>
          <w:szCs w:val="21"/>
        </w:rPr>
        <w:t>花卉的种类并掌握其观赏特性；</w:t>
      </w:r>
      <w:r>
        <w:rPr>
          <w:rFonts w:ascii="宋体" w:hAnsi="宋体"/>
          <w:szCs w:val="21"/>
        </w:rPr>
        <w:t>能够</w:t>
      </w:r>
      <w:r>
        <w:rPr>
          <w:rFonts w:hint="eastAsia" w:ascii="宋体" w:hAnsi="宋体"/>
          <w:szCs w:val="21"/>
        </w:rPr>
        <w:t>根据需要</w:t>
      </w:r>
      <w:r>
        <w:rPr>
          <w:rFonts w:ascii="宋体" w:hAnsi="宋体"/>
          <w:szCs w:val="21"/>
        </w:rPr>
        <w:t>独立制定</w:t>
      </w:r>
      <w:r>
        <w:rPr>
          <w:rFonts w:hint="eastAsia" w:ascii="宋体" w:hAnsi="宋体"/>
          <w:szCs w:val="21"/>
        </w:rPr>
        <w:t>花卉</w:t>
      </w:r>
      <w:r>
        <w:rPr>
          <w:rFonts w:ascii="宋体" w:hAnsi="宋体"/>
          <w:szCs w:val="21"/>
        </w:rPr>
        <w:t>生产计划，并能组织实施</w:t>
      </w:r>
      <w:r>
        <w:rPr>
          <w:rFonts w:hint="eastAsia" w:ascii="宋体" w:hAnsi="宋体"/>
          <w:szCs w:val="21"/>
        </w:rPr>
        <w:t>；能独立指导并操作花卉植物的育苗、</w:t>
      </w:r>
      <w:r>
        <w:rPr>
          <w:rFonts w:ascii="宋体" w:hAnsi="宋体"/>
          <w:szCs w:val="21"/>
        </w:rPr>
        <w:t>栽植</w:t>
      </w:r>
      <w:r>
        <w:rPr>
          <w:rFonts w:hint="eastAsia" w:ascii="宋体" w:hAnsi="宋体"/>
          <w:szCs w:val="21"/>
        </w:rPr>
        <w:t>和管理；</w:t>
      </w:r>
      <w:r>
        <w:rPr>
          <w:rFonts w:ascii="宋体" w:hAnsi="宋体"/>
          <w:szCs w:val="21"/>
        </w:rPr>
        <w:t>能</w:t>
      </w:r>
      <w:r>
        <w:rPr>
          <w:rFonts w:hint="eastAsia" w:ascii="宋体" w:hAnsi="宋体"/>
          <w:szCs w:val="21"/>
        </w:rPr>
        <w:t>够组织观赏植物的生产并掌握其使用途径和方法</w:t>
      </w:r>
      <w:r>
        <w:rPr>
          <w:rFonts w:ascii="宋体" w:hAnsi="宋体"/>
          <w:szCs w:val="21"/>
        </w:rPr>
        <w:t>。</w:t>
      </w:r>
      <w:r>
        <w:rPr>
          <w:rFonts w:hint="eastAsia" w:ascii="宋体" w:hAnsi="宋体"/>
          <w:szCs w:val="21"/>
        </w:rPr>
        <w:t>具体学习内容包括</w:t>
      </w:r>
      <w:r>
        <w:rPr>
          <w:rFonts w:ascii="宋体" w:hAnsi="宋体"/>
          <w:szCs w:val="21"/>
        </w:rPr>
        <w:t>花卉的涵义与范畴，花卉栽培与设施花卉栽培的方法</w:t>
      </w:r>
      <w:r>
        <w:rPr>
          <w:rFonts w:hint="eastAsia" w:ascii="宋体" w:hAnsi="宋体"/>
          <w:szCs w:val="21"/>
        </w:rPr>
        <w:t>、</w:t>
      </w:r>
      <w:r>
        <w:rPr>
          <w:rFonts w:ascii="宋体" w:hAnsi="宋体"/>
          <w:szCs w:val="21"/>
        </w:rPr>
        <w:t>花卉的分类方法及各类型的代表种类</w:t>
      </w:r>
      <w:r>
        <w:rPr>
          <w:rFonts w:hint="eastAsia" w:ascii="宋体" w:hAnsi="宋体"/>
          <w:szCs w:val="21"/>
        </w:rPr>
        <w:t>、</w:t>
      </w:r>
      <w:r>
        <w:rPr>
          <w:rFonts w:ascii="宋体" w:hAnsi="宋体"/>
          <w:szCs w:val="21"/>
        </w:rPr>
        <w:t>花卉栽培需要的设施类型及其调节控制方法</w:t>
      </w:r>
      <w:r>
        <w:rPr>
          <w:rFonts w:hint="eastAsia" w:ascii="宋体" w:hAnsi="宋体"/>
          <w:szCs w:val="21"/>
        </w:rPr>
        <w:t>、</w:t>
      </w:r>
      <w:r>
        <w:rPr>
          <w:rFonts w:ascii="宋体" w:hAnsi="宋体"/>
          <w:szCs w:val="21"/>
        </w:rPr>
        <w:t>花卉栽培常用的器具</w:t>
      </w:r>
      <w:r>
        <w:rPr>
          <w:rFonts w:hint="eastAsia" w:ascii="宋体" w:hAnsi="宋体"/>
          <w:szCs w:val="21"/>
        </w:rPr>
        <w:t>、</w:t>
      </w:r>
      <w:r>
        <w:rPr>
          <w:rFonts w:ascii="宋体" w:hAnsi="宋体"/>
          <w:szCs w:val="21"/>
        </w:rPr>
        <w:t>露地花卉</w:t>
      </w:r>
      <w:r>
        <w:rPr>
          <w:rFonts w:hint="eastAsia" w:ascii="宋体" w:hAnsi="宋体"/>
          <w:szCs w:val="21"/>
        </w:rPr>
        <w:t>、</w:t>
      </w:r>
      <w:r>
        <w:rPr>
          <w:rFonts w:ascii="宋体" w:hAnsi="宋体"/>
          <w:szCs w:val="21"/>
        </w:rPr>
        <w:t>盆花</w:t>
      </w:r>
      <w:r>
        <w:rPr>
          <w:rFonts w:hint="eastAsia" w:ascii="宋体" w:hAnsi="宋体"/>
          <w:szCs w:val="21"/>
        </w:rPr>
        <w:t>和温室植物</w:t>
      </w:r>
      <w:r>
        <w:rPr>
          <w:rFonts w:ascii="宋体" w:hAnsi="宋体"/>
          <w:szCs w:val="21"/>
        </w:rPr>
        <w:t>栽培</w:t>
      </w:r>
      <w:r>
        <w:rPr>
          <w:rFonts w:hint="eastAsia" w:ascii="宋体" w:hAnsi="宋体"/>
          <w:szCs w:val="21"/>
        </w:rPr>
        <w:t>管理等</w:t>
      </w:r>
      <w:r>
        <w:rPr>
          <w:rFonts w:ascii="宋体" w:hAnsi="宋体"/>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（五）</w:t>
      </w:r>
      <w:r>
        <w:rPr>
          <w:rFonts w:hint="eastAsia" w:ascii="宋体" w:hAnsi="宋体"/>
          <w:szCs w:val="21"/>
        </w:rPr>
        <w:t>园艺植物病虫害防治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w:t>
      </w:r>
      <w:r>
        <w:rPr>
          <w:rFonts w:ascii="宋体" w:hAnsi="宋体"/>
          <w:szCs w:val="21"/>
        </w:rPr>
        <w:t>学习能够正确识别和诊断园艺植物常见的病虫害</w:t>
      </w:r>
      <w:r>
        <w:rPr>
          <w:rFonts w:hint="eastAsia" w:ascii="宋体" w:hAnsi="宋体"/>
          <w:szCs w:val="21"/>
        </w:rPr>
        <w:t>；</w:t>
      </w:r>
      <w:r>
        <w:rPr>
          <w:rFonts w:ascii="宋体" w:hAnsi="宋体"/>
          <w:szCs w:val="21"/>
        </w:rPr>
        <w:t>能根据病虫害的侵染循环和发生发展规律，确定防治时间和措施</w:t>
      </w:r>
      <w:r>
        <w:rPr>
          <w:rFonts w:hint="eastAsia" w:ascii="宋体" w:hAnsi="宋体"/>
          <w:szCs w:val="21"/>
        </w:rPr>
        <w:t>；</w:t>
      </w:r>
      <w:r>
        <w:rPr>
          <w:rFonts w:ascii="宋体" w:hAnsi="宋体"/>
          <w:szCs w:val="21"/>
        </w:rPr>
        <w:t>能够选择使用正确的方式方法防治蔬菜常见病虫害</w:t>
      </w:r>
      <w:r>
        <w:rPr>
          <w:rFonts w:hint="eastAsia" w:ascii="宋体" w:hAnsi="宋体"/>
          <w:szCs w:val="21"/>
        </w:rPr>
        <w:t>；</w:t>
      </w:r>
      <w:r>
        <w:rPr>
          <w:rFonts w:ascii="宋体" w:hAnsi="宋体"/>
          <w:szCs w:val="21"/>
        </w:rPr>
        <w:t>能够选择使用正确的方式方法防治果树常见病虫害。</w:t>
      </w:r>
      <w:r>
        <w:rPr>
          <w:rFonts w:hint="eastAsia" w:ascii="宋体" w:hAnsi="宋体"/>
          <w:szCs w:val="21"/>
        </w:rPr>
        <w:t>具体</w:t>
      </w:r>
      <w:r>
        <w:rPr>
          <w:rFonts w:ascii="宋体" w:hAnsi="宋体"/>
          <w:szCs w:val="21"/>
        </w:rPr>
        <w:t>学习内容</w:t>
      </w:r>
      <w:r>
        <w:rPr>
          <w:rFonts w:hint="eastAsia" w:ascii="宋体" w:hAnsi="宋体"/>
          <w:szCs w:val="21"/>
        </w:rPr>
        <w:t>包括</w:t>
      </w:r>
      <w:r>
        <w:rPr>
          <w:rFonts w:ascii="宋体" w:hAnsi="宋体"/>
          <w:szCs w:val="21"/>
        </w:rPr>
        <w:t>露地蔬菜常见病虫害无公害防治</w:t>
      </w:r>
      <w:r>
        <w:rPr>
          <w:rFonts w:hint="eastAsia" w:ascii="宋体" w:hAnsi="宋体"/>
          <w:szCs w:val="21"/>
        </w:rPr>
        <w:t>、</w:t>
      </w:r>
      <w:r>
        <w:rPr>
          <w:rFonts w:ascii="宋体" w:hAnsi="宋体"/>
          <w:szCs w:val="21"/>
        </w:rPr>
        <w:t>设施蔬菜常见病虫害无公害防治</w:t>
      </w:r>
      <w:r>
        <w:rPr>
          <w:rFonts w:hint="eastAsia" w:ascii="宋体" w:hAnsi="宋体"/>
          <w:szCs w:val="21"/>
        </w:rPr>
        <w:t>、</w:t>
      </w:r>
      <w:r>
        <w:rPr>
          <w:rFonts w:ascii="宋体" w:hAnsi="宋体"/>
          <w:szCs w:val="21"/>
        </w:rPr>
        <w:t>露地果树常见病虫害无公害防治</w:t>
      </w:r>
      <w:r>
        <w:rPr>
          <w:rFonts w:hint="eastAsia" w:ascii="宋体" w:hAnsi="宋体"/>
          <w:szCs w:val="21"/>
        </w:rPr>
        <w:t>和</w:t>
      </w:r>
      <w:r>
        <w:rPr>
          <w:rFonts w:ascii="宋体" w:hAnsi="宋体"/>
          <w:szCs w:val="21"/>
        </w:rPr>
        <w:t>设施果树常见病虫害无公害防治</w:t>
      </w:r>
      <w:r>
        <w:rPr>
          <w:rFonts w:hint="eastAsia" w:ascii="宋体" w:hAnsi="宋体"/>
          <w:szCs w:val="21"/>
        </w:rPr>
        <w:t>等</w:t>
      </w:r>
      <w:r>
        <w:rPr>
          <w:rFonts w:ascii="宋体" w:hAnsi="宋体"/>
          <w:szCs w:val="21"/>
        </w:rPr>
        <w:t>技术。</w:t>
      </w:r>
    </w:p>
    <w:p>
      <w:pPr>
        <w:spacing w:line="360" w:lineRule="exact"/>
        <w:ind w:firstLine="422" w:firstLineChars="200"/>
        <w:rPr>
          <w:rFonts w:hint="eastAsia" w:ascii="宋体" w:hAnsi="宋体"/>
          <w:b/>
          <w:bCs/>
          <w:szCs w:val="21"/>
        </w:rPr>
      </w:pPr>
      <w:r>
        <w:rPr>
          <w:rFonts w:hint="eastAsia" w:ascii="宋体" w:hAnsi="宋体"/>
          <w:b/>
          <w:bCs/>
          <w:szCs w:val="21"/>
        </w:rPr>
        <w:t>三、实践学习课程简介</w:t>
      </w:r>
    </w:p>
    <w:p>
      <w:pPr>
        <w:spacing w:line="360" w:lineRule="exact"/>
        <w:ind w:firstLine="420" w:firstLineChars="200"/>
        <w:rPr>
          <w:rFonts w:hint="eastAsia" w:ascii="宋体" w:hAnsi="宋体"/>
          <w:szCs w:val="21"/>
        </w:rPr>
      </w:pPr>
      <w:r>
        <w:rPr>
          <w:rFonts w:hint="eastAsia" w:ascii="宋体" w:hAnsi="宋体"/>
          <w:szCs w:val="21"/>
          <w:lang w:eastAsia="zh-CN"/>
        </w:rPr>
        <w:t>（一）</w:t>
      </w:r>
      <w:r>
        <w:rPr>
          <w:rFonts w:hint="eastAsia" w:ascii="宋体" w:hAnsi="宋体"/>
          <w:szCs w:val="21"/>
        </w:rPr>
        <w:t>综合实</w:t>
      </w:r>
      <w:r>
        <w:rPr>
          <w:rFonts w:hint="eastAsia" w:ascii="宋体" w:hAnsi="宋体"/>
          <w:szCs w:val="21"/>
          <w:lang w:eastAsia="zh-CN"/>
        </w:rPr>
        <w:t>训</w:t>
      </w:r>
    </w:p>
    <w:p>
      <w:pPr>
        <w:spacing w:line="360" w:lineRule="exact"/>
        <w:ind w:firstLine="420" w:firstLineChars="200"/>
        <w:rPr>
          <w:rFonts w:hint="eastAsia" w:ascii="宋体" w:hAnsi="宋体"/>
          <w:szCs w:val="21"/>
        </w:rPr>
      </w:pPr>
      <w:r>
        <w:rPr>
          <w:rFonts w:hint="eastAsia" w:ascii="宋体" w:hAnsi="宋体"/>
          <w:szCs w:val="21"/>
        </w:rPr>
        <w:t>第1-5学期，以校内果树、蔬菜、花卉生产项目为载体，每学期安排2-3周的综合实训课程，学生与项目紧密结合，全程参与项目活动，将制定生产计划、整地建园、育苗栽植、水肥管理、植株调整、设施环境调控、采收销售等专业技能在项目实施过程中综合运用，以培养学生的专业能力为主，同时培养学生的计划决策、组织协调、团队合作等方法能力和社会能力，使学生能够独立完成最基本的生产管理工作。</w:t>
      </w:r>
    </w:p>
    <w:p>
      <w:pPr>
        <w:spacing w:line="360" w:lineRule="exact"/>
        <w:ind w:firstLine="420" w:firstLineChars="200"/>
        <w:rPr>
          <w:rFonts w:hint="eastAsia" w:ascii="宋体" w:hAnsi="宋体"/>
          <w:szCs w:val="21"/>
        </w:rPr>
      </w:pPr>
      <w:r>
        <w:rPr>
          <w:rFonts w:hint="eastAsia" w:ascii="宋体" w:hAnsi="宋体"/>
          <w:szCs w:val="21"/>
          <w:lang w:eastAsia="zh-CN"/>
        </w:rPr>
        <w:t>（二）</w:t>
      </w:r>
      <w:r>
        <w:rPr>
          <w:rFonts w:hint="eastAsia" w:ascii="宋体" w:hAnsi="宋体"/>
          <w:szCs w:val="21"/>
        </w:rPr>
        <w:t>企业顶岗实训</w:t>
      </w:r>
    </w:p>
    <w:p>
      <w:pPr>
        <w:spacing w:line="360" w:lineRule="exact"/>
        <w:ind w:firstLine="420" w:firstLineChars="200"/>
        <w:rPr>
          <w:rFonts w:hint="eastAsia" w:ascii="宋体" w:hAnsi="宋体"/>
          <w:szCs w:val="21"/>
        </w:rPr>
      </w:pPr>
      <w:r>
        <w:rPr>
          <w:rFonts w:hint="eastAsia" w:ascii="宋体" w:hAnsi="宋体"/>
          <w:szCs w:val="21"/>
        </w:rPr>
        <w:t>第5-6学期，学生具备一定的专业知识和技能以后，安排学生到校外合作企业进行顶岗实训。以企业生产项目为栽体，在企业导师的指导下，以企业员工的身份参与项目实施，在学生发挥和运用园艺技术专业能力的过程中，重点培养学生分析问题、解决问题、主动获取新知识及知识迁移等方法能力和服从领导、团结协作、承担责任、遵纪守法等社会能力，使学生能够成为企业的合格员工。</w:t>
      </w:r>
    </w:p>
    <w:p>
      <w:pPr>
        <w:spacing w:line="360" w:lineRule="exact"/>
        <w:ind w:firstLine="420" w:firstLineChars="200"/>
        <w:rPr>
          <w:rFonts w:ascii="宋体" w:hAnsi="宋体"/>
          <w:szCs w:val="21"/>
        </w:rPr>
      </w:pPr>
      <w:r>
        <w:rPr>
          <w:rFonts w:hint="eastAsia" w:ascii="宋体" w:hAnsi="宋体"/>
          <w:szCs w:val="21"/>
          <w:lang w:eastAsia="zh-CN"/>
        </w:rPr>
        <w:t>（三）</w:t>
      </w:r>
      <w:r>
        <w:rPr>
          <w:rFonts w:ascii="宋体" w:hAnsi="宋体"/>
          <w:szCs w:val="21"/>
        </w:rPr>
        <w:t>毕业</w:t>
      </w:r>
      <w:r>
        <w:rPr>
          <w:rFonts w:hint="eastAsia" w:ascii="宋体" w:hAnsi="宋体"/>
          <w:szCs w:val="21"/>
        </w:rPr>
        <w:t>论文</w:t>
      </w:r>
    </w:p>
    <w:p>
      <w:pPr>
        <w:spacing w:line="360" w:lineRule="exact"/>
        <w:ind w:firstLine="420" w:firstLineChars="200"/>
        <w:rPr>
          <w:rFonts w:hint="eastAsia" w:ascii="宋体" w:hAnsi="宋体"/>
          <w:szCs w:val="21"/>
        </w:rPr>
      </w:pPr>
      <w:r>
        <w:rPr>
          <w:rFonts w:hint="eastAsia" w:ascii="宋体" w:hAnsi="宋体"/>
          <w:szCs w:val="21"/>
        </w:rPr>
        <w:t>第2-6学期，结合综合实训和企业顶岗实训，以小型研究项目以载体，在教师指导下进行科学试验，或对生产中遇到的问题开展调查研究，在实践的基础上，对试验数据或调查结果进行统计分析，最后撰写毕业论文。培养学生制定计划、实施计划、归纳总结等独立工作能力及科技论文的写作能力。使学生能够独立完成一个小型项目的计划、实施和总结。第6学期完成毕业论文答辩。</w:t>
      </w:r>
    </w:p>
    <w:p>
      <w:pPr>
        <w:spacing w:line="360" w:lineRule="exact"/>
        <w:ind w:firstLine="420" w:firstLineChars="200"/>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1"/>
        <w:rPr>
          <w:rFonts w:hint="eastAsia" w:ascii="宋体" w:hAnsi="宋体"/>
          <w:b/>
          <w:sz w:val="24"/>
        </w:rPr>
      </w:pPr>
      <w:r>
        <w:rPr>
          <w:rFonts w:hint="eastAsia" w:ascii="宋体" w:hAnsi="宋体"/>
          <w:b/>
          <w:sz w:val="24"/>
        </w:rPr>
        <w:t>专业办学基本条件和教学建议</w:t>
      </w:r>
    </w:p>
    <w:p>
      <w:pPr>
        <w:spacing w:line="360" w:lineRule="exact"/>
        <w:ind w:firstLine="422" w:firstLineChars="200"/>
        <w:rPr>
          <w:rFonts w:hint="eastAsia" w:ascii="宋体" w:hAnsi="宋体"/>
          <w:b/>
          <w:bCs/>
          <w:szCs w:val="21"/>
        </w:rPr>
      </w:pPr>
      <w:r>
        <w:rPr>
          <w:rFonts w:hint="eastAsia" w:ascii="宋体" w:hAnsi="宋体"/>
          <w:b/>
          <w:bCs/>
          <w:szCs w:val="21"/>
        </w:rPr>
        <w:t>一、专业教学团队</w:t>
      </w:r>
    </w:p>
    <w:p>
      <w:pPr>
        <w:spacing w:line="360" w:lineRule="exact"/>
        <w:ind w:firstLine="420" w:firstLineChars="200"/>
        <w:rPr>
          <w:rFonts w:hint="eastAsia" w:ascii="宋体" w:hAnsi="宋体"/>
          <w:szCs w:val="21"/>
        </w:rPr>
      </w:pPr>
      <w:r>
        <w:rPr>
          <w:rFonts w:hint="eastAsia" w:ascii="宋体" w:hAnsi="宋体"/>
          <w:szCs w:val="21"/>
        </w:rPr>
        <w:t>师资队伍的知识、职称、年龄结构合理，形成良好的合作精神和梯队结构，生师比1:14-18；</w:t>
      </w:r>
    </w:p>
    <w:p>
      <w:pPr>
        <w:spacing w:line="360" w:lineRule="exact"/>
        <w:ind w:firstLine="420" w:firstLineChars="200"/>
        <w:rPr>
          <w:rFonts w:hint="eastAsia" w:ascii="宋体" w:hAnsi="宋体"/>
          <w:szCs w:val="21"/>
        </w:rPr>
      </w:pPr>
      <w:r>
        <w:rPr>
          <w:rFonts w:hint="eastAsia" w:ascii="宋体" w:hAnsi="宋体"/>
          <w:szCs w:val="21"/>
        </w:rPr>
        <w:t>教师应具有本科以上学历，高级、中级、初级职称的教师的比例大约1:2:1，具有硕士学位的教师占专任教师的50%以上；专业课教师中具有行业企业经历的“双师”素质教师比例80%以上；来自行业、企业的兼职教师任课时数应占专业课总学时数的30%以上，并在条件允许的前提下逐步增加企业兼职教师的任课时数。</w:t>
      </w:r>
    </w:p>
    <w:p>
      <w:pPr>
        <w:spacing w:line="360" w:lineRule="exact"/>
        <w:ind w:firstLine="420" w:firstLineChars="200"/>
        <w:rPr>
          <w:rFonts w:hint="eastAsia" w:ascii="宋体" w:hAnsi="宋体"/>
          <w:szCs w:val="21"/>
        </w:rPr>
      </w:pPr>
      <w:r>
        <w:rPr>
          <w:rFonts w:hint="eastAsia" w:ascii="宋体" w:hAnsi="宋体"/>
          <w:szCs w:val="21"/>
        </w:rPr>
        <w:t>专业带头人应具备副教授以上技术职称，善于整合与利用社会资源，能及时跟踪产业发展趋势和行业动态，准确把握专业建设与教学改革方向，保持专业课程建设的领先水平。</w:t>
      </w:r>
    </w:p>
    <w:p>
      <w:pPr>
        <w:spacing w:line="360" w:lineRule="exact"/>
        <w:ind w:firstLine="422" w:firstLineChars="200"/>
        <w:rPr>
          <w:rFonts w:hint="eastAsia" w:ascii="宋体" w:hAnsi="宋体"/>
          <w:b/>
          <w:bCs/>
          <w:szCs w:val="21"/>
        </w:rPr>
      </w:pPr>
      <w:r>
        <w:rPr>
          <w:rFonts w:hint="eastAsia" w:ascii="宋体" w:hAnsi="宋体"/>
          <w:b/>
          <w:bCs/>
          <w:szCs w:val="21"/>
        </w:rPr>
        <w:t>二、实验实训室</w:t>
      </w:r>
    </w:p>
    <w:p>
      <w:pPr>
        <w:spacing w:line="360" w:lineRule="exact"/>
        <w:ind w:firstLine="420" w:firstLineChars="200"/>
        <w:rPr>
          <w:rFonts w:hint="eastAsia" w:ascii="宋体" w:hAnsi="宋体"/>
          <w:szCs w:val="21"/>
        </w:rPr>
      </w:pPr>
      <w:r>
        <w:rPr>
          <w:rFonts w:hint="eastAsia" w:ascii="宋体" w:hAnsi="宋体"/>
          <w:szCs w:val="21"/>
        </w:rPr>
        <w:t>实验实训室是园艺技术专业教学必备的辅助条件，通过具体实验内容亲自动手操作，掌握一定的技术技能，为实践教学和专业课学习打下基础。按园艺技术专业教学要求，可参考设置以下实验实训室：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(1)</w:t>
      </w:r>
      <w:r>
        <w:rPr>
          <w:rFonts w:hint="eastAsia" w:ascii="宋体" w:hAnsi="宋体"/>
          <w:szCs w:val="21"/>
        </w:rPr>
        <w:t>计算机：</w:t>
      </w:r>
      <w:r>
        <w:rPr>
          <w:rFonts w:ascii="宋体" w:hAnsi="宋体"/>
          <w:szCs w:val="21"/>
        </w:rPr>
        <w:t>计算机（60台）及小网络系统，多媒体教学设备</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(2)</w:t>
      </w:r>
      <w:r>
        <w:rPr>
          <w:rFonts w:hint="eastAsia" w:ascii="宋体" w:hAnsi="宋体"/>
          <w:szCs w:val="21"/>
        </w:rPr>
        <w:t>语音室：</w:t>
      </w:r>
      <w:r>
        <w:rPr>
          <w:rFonts w:ascii="宋体" w:hAnsi="宋体"/>
          <w:szCs w:val="21"/>
        </w:rPr>
        <w:t>语言学习机（60台）及小网络系统</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(3)</w:t>
      </w:r>
      <w:r>
        <w:rPr>
          <w:rFonts w:hint="eastAsia" w:ascii="宋体" w:hAnsi="宋体"/>
          <w:szCs w:val="21"/>
        </w:rPr>
        <w:t>体育馆（文体）：</w:t>
      </w:r>
      <w:r>
        <w:rPr>
          <w:rFonts w:ascii="宋体" w:hAnsi="宋体"/>
          <w:szCs w:val="21"/>
        </w:rPr>
        <w:t>球类（蓝，排，网），体操等设备</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(4)</w:t>
      </w:r>
      <w:r>
        <w:rPr>
          <w:rFonts w:hint="eastAsia" w:ascii="宋体" w:hAnsi="宋体"/>
          <w:szCs w:val="21"/>
        </w:rPr>
        <w:t>化学实训室：</w:t>
      </w:r>
      <w:r>
        <w:rPr>
          <w:rFonts w:ascii="宋体" w:hAnsi="宋体"/>
          <w:szCs w:val="21"/>
        </w:rPr>
        <w:t>玻璃仪器，分析天平，分光光度计，酸、碱滴定设备，酸度计</w:t>
      </w:r>
      <w:r>
        <w:rPr>
          <w:rFonts w:hint="eastAsia" w:ascii="宋体" w:hAnsi="宋体"/>
          <w:szCs w:val="21"/>
        </w:rPr>
        <w:t>，培养学生基础仪器分析能力。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(5)</w:t>
      </w:r>
      <w:r>
        <w:rPr>
          <w:rFonts w:hint="eastAsia" w:ascii="宋体" w:hAnsi="宋体"/>
          <w:szCs w:val="21"/>
        </w:rPr>
        <w:t>植物及植物生理实训室：</w:t>
      </w:r>
      <w:r>
        <w:rPr>
          <w:rFonts w:ascii="宋体" w:hAnsi="宋体"/>
          <w:szCs w:val="21"/>
        </w:rPr>
        <w:t>显微镜，解剖镜，呼吸强度测定仪，光合强度测定仪，分光光度计，电子天平，冰箱，烘箱，恒温箱，高速离心机，微量离心机，冷冻离心机，搅拌仪，切片机，显微照像设备，多媒体教学设备</w:t>
      </w:r>
      <w:r>
        <w:rPr>
          <w:rFonts w:hint="eastAsia" w:ascii="宋体" w:hAnsi="宋体"/>
          <w:szCs w:val="21"/>
        </w:rPr>
        <w:t>。培养学生植物营养及生理测试能力。</w:t>
      </w:r>
    </w:p>
    <w:p>
      <w:pPr>
        <w:spacing w:line="360" w:lineRule="exact"/>
        <w:ind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遗传育种实训室：</w:t>
      </w:r>
      <w:r>
        <w:rPr>
          <w:rFonts w:ascii="宋体" w:hAnsi="宋体"/>
          <w:szCs w:val="21"/>
        </w:rPr>
        <w:t>显微镜，解剖镜，冰箱，烘箱</w:t>
      </w:r>
      <w:r>
        <w:rPr>
          <w:rFonts w:hint="eastAsia" w:ascii="宋体" w:hAnsi="宋体"/>
          <w:szCs w:val="21"/>
        </w:rPr>
        <w:t>，</w:t>
      </w:r>
      <w:r>
        <w:rPr>
          <w:rFonts w:ascii="宋体" w:hAnsi="宋体"/>
          <w:szCs w:val="21"/>
        </w:rPr>
        <w:t>恒温培养箱，显微照像设备，多媒体教学设备</w:t>
      </w:r>
      <w:r>
        <w:rPr>
          <w:rFonts w:hint="eastAsia" w:ascii="宋体" w:hAnsi="宋体"/>
          <w:szCs w:val="21"/>
        </w:rPr>
        <w:t>。完成遗传及繁种育种技能训练。</w:t>
      </w:r>
    </w:p>
    <w:p>
      <w:pPr>
        <w:spacing w:line="360" w:lineRule="exact"/>
        <w:ind w:firstLine="420" w:firstLineChars="200"/>
        <w:rPr>
          <w:rFonts w:hint="eastAsia" w:ascii="宋体" w:hAnsi="宋体"/>
          <w:szCs w:val="21"/>
        </w:rPr>
      </w:pPr>
      <w:r>
        <w:rPr>
          <w:rFonts w:hint="eastAsia" w:ascii="宋体" w:hAnsi="宋体"/>
          <w:szCs w:val="21"/>
          <w:lang w:val="en-US" w:eastAsia="zh-CN"/>
        </w:rPr>
        <w:t>(7)</w:t>
      </w:r>
      <w:r>
        <w:rPr>
          <w:rFonts w:hint="eastAsia" w:ascii="宋体" w:hAnsi="宋体"/>
          <w:szCs w:val="21"/>
        </w:rPr>
        <w:t>土壤肥料实训室：</w:t>
      </w:r>
      <w:r>
        <w:rPr>
          <w:rFonts w:ascii="宋体" w:hAnsi="宋体"/>
          <w:szCs w:val="21"/>
        </w:rPr>
        <w:t>冰箱，烘箱，恒温箱，原子吸收分光光度计，分光光度计，离子交换发生器，电子天平，多媒体教学设备</w:t>
      </w:r>
      <w:r>
        <w:rPr>
          <w:rFonts w:hint="eastAsia" w:ascii="宋体" w:hAnsi="宋体"/>
          <w:szCs w:val="21"/>
        </w:rPr>
        <w:t>。完成学生土壤测试训练。</w:t>
      </w:r>
    </w:p>
    <w:p>
      <w:pPr>
        <w:spacing w:line="360" w:lineRule="exact"/>
        <w:ind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植物保护实训室：</w:t>
      </w:r>
      <w:r>
        <w:rPr>
          <w:rFonts w:ascii="宋体" w:hAnsi="宋体"/>
          <w:szCs w:val="21"/>
        </w:rPr>
        <w:t>显微镜，冰箱，烘箱，恒温箱，电子天平，恒温培养箱，无菌接种箱，显微照像设备，多媒体教学设备</w:t>
      </w:r>
      <w:r>
        <w:rPr>
          <w:rFonts w:hint="eastAsia" w:ascii="宋体" w:hAnsi="宋体"/>
          <w:szCs w:val="21"/>
        </w:rPr>
        <w:t>。完成植物病虫害防治相关技能训练。</w:t>
      </w:r>
    </w:p>
    <w:p>
      <w:pPr>
        <w:spacing w:line="360" w:lineRule="exact"/>
        <w:ind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园艺综合实训室：</w:t>
      </w:r>
      <w:r>
        <w:rPr>
          <w:rFonts w:ascii="宋体" w:hAnsi="宋体"/>
          <w:szCs w:val="21"/>
        </w:rPr>
        <w:t>作物标本，电子天平，恒温培养箱，气（液）相色谱仪，氨基酸分析测定仪，分光光度计，多媒体教学设备</w:t>
      </w:r>
      <w:r>
        <w:rPr>
          <w:rFonts w:hint="eastAsia" w:ascii="宋体" w:hAnsi="宋体"/>
          <w:szCs w:val="21"/>
        </w:rPr>
        <w:t>。完成种子及器官形态识别和质量检测能力培养。</w:t>
      </w:r>
    </w:p>
    <w:p>
      <w:pPr>
        <w:spacing w:line="360" w:lineRule="exact"/>
        <w:ind w:firstLine="420" w:firstLineChars="200"/>
        <w:rPr>
          <w:rFonts w:hint="eastAsia" w:ascii="宋体" w:hAnsi="宋体"/>
          <w:szCs w:val="21"/>
        </w:rPr>
      </w:pPr>
      <w:r>
        <w:rPr>
          <w:rFonts w:hint="eastAsia" w:ascii="宋体" w:hAnsi="宋体"/>
          <w:szCs w:val="21"/>
          <w:lang w:val="en-US" w:eastAsia="zh-CN"/>
        </w:rPr>
        <w:t>(10)</w:t>
      </w:r>
      <w:r>
        <w:rPr>
          <w:rFonts w:hint="eastAsia" w:ascii="宋体" w:hAnsi="宋体"/>
          <w:szCs w:val="21"/>
        </w:rPr>
        <w:t>组织培养实训室：</w:t>
      </w:r>
      <w:r>
        <w:rPr>
          <w:rFonts w:ascii="宋体" w:hAnsi="宋体"/>
          <w:szCs w:val="21"/>
        </w:rPr>
        <w:t>显微镜，解剖镜，冰箱，烘箱，空调，超净工作台，搅拌器，酸度计，电导率仪，照度计，臭氧发生器，高压灭菌锅，显微照像设备等</w:t>
      </w:r>
      <w:r>
        <w:rPr>
          <w:rFonts w:hint="eastAsia" w:ascii="宋体" w:hAnsi="宋体"/>
          <w:szCs w:val="21"/>
        </w:rPr>
        <w:t>。完成组培繁苗相关技能训练。</w:t>
      </w:r>
    </w:p>
    <w:p>
      <w:pPr>
        <w:spacing w:line="360" w:lineRule="exact"/>
        <w:ind w:firstLine="422" w:firstLineChars="200"/>
        <w:rPr>
          <w:rFonts w:hint="eastAsia" w:ascii="宋体" w:hAnsi="宋体"/>
          <w:b/>
          <w:bCs/>
          <w:szCs w:val="21"/>
        </w:rPr>
      </w:pPr>
      <w:r>
        <w:rPr>
          <w:rFonts w:hint="eastAsia" w:ascii="宋体" w:hAnsi="宋体"/>
          <w:b/>
          <w:bCs/>
          <w:szCs w:val="21"/>
        </w:rPr>
        <w:t>三、实习、实训基地</w:t>
      </w:r>
    </w:p>
    <w:p>
      <w:pPr>
        <w:spacing w:line="360" w:lineRule="exact"/>
        <w:ind w:firstLine="420" w:firstLineChars="200"/>
        <w:rPr>
          <w:rFonts w:ascii="宋体" w:hAnsi="宋体"/>
          <w:szCs w:val="21"/>
        </w:rPr>
      </w:pPr>
      <w:r>
        <w:rPr>
          <w:rFonts w:hint="eastAsia" w:ascii="宋体" w:hAnsi="宋体"/>
          <w:szCs w:val="21"/>
        </w:rPr>
        <w:t>实习、实训基地是专业知识运用和专业技能培养训练的场所和评价考核中心，是教学、生产和科研一体化建设的载体。基地建设规模要与招生规模相适应，有果树、蔬菜、花卉、食用菌生产基地，面积不少于10000平方米，满足教学需要；建设水平要与产业发展水平相接轨，有温室、大棚等现代设施，满足实践能力培养需要。基地运行要以生产性实训项目为载体，专业教学和生产任务共同完成。基地管理要与企业合作，承担企业生产或研发任务，按企业程序运作，确保学生在真实的企业环境中实训。</w:t>
      </w:r>
    </w:p>
    <w:p>
      <w:pPr>
        <w:spacing w:line="360" w:lineRule="exact"/>
        <w:ind w:firstLine="420" w:firstLineChars="200"/>
        <w:rPr>
          <w:rFonts w:hint="eastAsia" w:ascii="宋体" w:hAnsi="宋体"/>
          <w:szCs w:val="21"/>
        </w:rPr>
      </w:pPr>
      <w:r>
        <w:rPr>
          <w:rFonts w:hint="eastAsia" w:ascii="宋体" w:hAnsi="宋体"/>
          <w:szCs w:val="21"/>
        </w:rPr>
        <w:t>企业实训是职业能力培养的必要环节。要根据专业学生数和企业规模，建立满足企业实训需求的实训岗位。在校企合作过程中要充分利用学校的人才和技术优势为企业服务以获取社会和企业的支持与帮助，通过协助企业来培养学生，通过培养学生来协助企业，建立校（学校）企（企业）生（学生）“三赢”的校企合作长效运行机制。</w:t>
      </w:r>
    </w:p>
    <w:p>
      <w:pPr>
        <w:spacing w:line="360" w:lineRule="exact"/>
        <w:ind w:firstLine="422" w:firstLineChars="200"/>
        <w:rPr>
          <w:rFonts w:hint="eastAsia" w:ascii="宋体" w:hAnsi="宋体"/>
          <w:b/>
          <w:bCs/>
          <w:szCs w:val="21"/>
        </w:rPr>
      </w:pPr>
      <w:r>
        <w:rPr>
          <w:rFonts w:hint="eastAsia" w:ascii="宋体" w:hAnsi="宋体"/>
          <w:b/>
          <w:bCs/>
          <w:szCs w:val="21"/>
        </w:rPr>
        <w:t>四、图书、网络与教材</w:t>
      </w:r>
    </w:p>
    <w:p>
      <w:pPr>
        <w:spacing w:line="360" w:lineRule="exact"/>
        <w:ind w:firstLine="420" w:firstLineChars="200"/>
        <w:rPr>
          <w:rFonts w:hint="eastAsia" w:ascii="宋体" w:hAnsi="宋体"/>
          <w:szCs w:val="21"/>
        </w:rPr>
      </w:pPr>
      <w:r>
        <w:rPr>
          <w:rFonts w:hint="eastAsia" w:ascii="宋体" w:hAnsi="宋体"/>
          <w:szCs w:val="21"/>
        </w:rPr>
        <w:t>优先选用国家、省级获奖教材及国家规划教材，鼓励教师与行业企业合作，共同开发编写突出高等职业教育特色，体现基于工作过程和职业培训内容特点的教材。</w:t>
      </w:r>
    </w:p>
    <w:p>
      <w:pPr>
        <w:spacing w:line="360" w:lineRule="exact"/>
        <w:ind w:firstLine="420" w:firstLineChars="200"/>
        <w:rPr>
          <w:rFonts w:hint="eastAsia" w:ascii="宋体" w:hAnsi="宋体"/>
          <w:szCs w:val="21"/>
        </w:rPr>
      </w:pPr>
      <w:r>
        <w:rPr>
          <w:rFonts w:hint="eastAsia" w:ascii="宋体" w:hAnsi="宋体"/>
          <w:szCs w:val="21"/>
        </w:rPr>
        <w:t>本专业图书的数量不少于每个学生50本，图书的新添置量每年不少于5％，专业杂志最少达到10种。</w:t>
      </w:r>
    </w:p>
    <w:p>
      <w:pPr>
        <w:spacing w:line="360" w:lineRule="exact"/>
        <w:ind w:firstLine="420" w:firstLineChars="200"/>
        <w:rPr>
          <w:rFonts w:hint="eastAsia" w:ascii="宋体" w:hAnsi="宋体"/>
          <w:szCs w:val="21"/>
        </w:rPr>
      </w:pPr>
      <w:r>
        <w:rPr>
          <w:rFonts w:hint="eastAsia" w:ascii="宋体" w:hAnsi="宋体"/>
          <w:szCs w:val="21"/>
        </w:rPr>
        <w:t>充分利用国家专业教学资源库、国家精品课、省级精品课等优质数字化（网络）教学资源，根据专业实际开发建设网络学习课程等数字化专业教学资源，满足教师、学生、企业职工自主学习的要求。</w:t>
      </w:r>
    </w:p>
    <w:p>
      <w:pPr>
        <w:spacing w:line="360" w:lineRule="exact"/>
        <w:ind w:firstLine="422" w:firstLineChars="200"/>
        <w:rPr>
          <w:rFonts w:hint="eastAsia" w:ascii="宋体" w:hAnsi="宋体"/>
          <w:b/>
          <w:bCs/>
          <w:szCs w:val="21"/>
        </w:rPr>
      </w:pPr>
      <w:r>
        <w:rPr>
          <w:rFonts w:hint="eastAsia" w:ascii="宋体" w:hAnsi="宋体"/>
          <w:b/>
          <w:bCs/>
          <w:szCs w:val="21"/>
        </w:rPr>
        <w:t>五、教学方法、手段及教学组织形式</w:t>
      </w:r>
    </w:p>
    <w:p>
      <w:pPr>
        <w:spacing w:line="360" w:lineRule="exact"/>
        <w:ind w:firstLine="420" w:firstLineChars="200"/>
        <w:rPr>
          <w:rFonts w:hint="eastAsia" w:ascii="宋体" w:hAnsi="宋体"/>
          <w:szCs w:val="21"/>
        </w:rPr>
      </w:pPr>
      <w:r>
        <w:rPr>
          <w:rFonts w:hint="eastAsia" w:ascii="宋体" w:hAnsi="宋体"/>
          <w:szCs w:val="21"/>
        </w:rPr>
        <w:t>遵循</w:t>
      </w:r>
      <w:r>
        <w:rPr>
          <w:rFonts w:ascii="宋体" w:hAnsi="宋体"/>
          <w:szCs w:val="21"/>
        </w:rPr>
        <w:t>高职教育</w:t>
      </w:r>
      <w:r>
        <w:rPr>
          <w:rFonts w:hint="eastAsia" w:ascii="宋体" w:hAnsi="宋体"/>
          <w:szCs w:val="21"/>
        </w:rPr>
        <w:t>“</w:t>
      </w:r>
      <w:r>
        <w:rPr>
          <w:rFonts w:ascii="宋体" w:hAnsi="宋体"/>
          <w:szCs w:val="21"/>
        </w:rPr>
        <w:t>以学生为中心、做中学、做中教</w:t>
      </w:r>
      <w:r>
        <w:rPr>
          <w:rFonts w:hint="eastAsia" w:ascii="宋体" w:hAnsi="宋体"/>
          <w:szCs w:val="21"/>
        </w:rPr>
        <w:t>”</w:t>
      </w:r>
      <w:r>
        <w:rPr>
          <w:rFonts w:ascii="宋体" w:hAnsi="宋体"/>
          <w:szCs w:val="21"/>
        </w:rPr>
        <w:t>的教学理念</w:t>
      </w:r>
      <w:r>
        <w:rPr>
          <w:rFonts w:hint="eastAsia" w:ascii="宋体" w:hAnsi="宋体"/>
          <w:szCs w:val="21"/>
        </w:rPr>
        <w:t>，充分利用现代教育技术和实验室、实训基地的客观条件，选择合适的教学载体，针对基础知识学习、技术操作学习、综合技能学习等不同重点的学习设计科学合理的教学方法和手段。关键在于做好课堂设计，以问题、任务、项目等驱动学生参与教学的整个过程，成为解决问题的主体。</w:t>
      </w:r>
    </w:p>
    <w:p>
      <w:pPr>
        <w:spacing w:line="360" w:lineRule="exact"/>
        <w:ind w:firstLine="422" w:firstLineChars="200"/>
        <w:rPr>
          <w:rFonts w:hint="eastAsia" w:ascii="宋体" w:hAnsi="宋体"/>
          <w:b/>
          <w:bCs/>
          <w:szCs w:val="21"/>
        </w:rPr>
      </w:pPr>
      <w:r>
        <w:rPr>
          <w:rFonts w:hint="eastAsia" w:ascii="宋体" w:hAnsi="宋体"/>
          <w:b/>
          <w:bCs/>
          <w:szCs w:val="21"/>
        </w:rPr>
        <w:t>六、教学评价与考核</w:t>
      </w:r>
    </w:p>
    <w:p>
      <w:pPr>
        <w:spacing w:line="360" w:lineRule="exact"/>
        <w:ind w:firstLine="420" w:firstLineChars="200"/>
        <w:rPr>
          <w:rFonts w:hint="eastAsia" w:ascii="宋体" w:hAnsi="宋体"/>
          <w:szCs w:val="21"/>
        </w:rPr>
      </w:pPr>
      <w:r>
        <w:rPr>
          <w:rFonts w:hint="eastAsia" w:ascii="宋体" w:hAnsi="宋体"/>
          <w:szCs w:val="21"/>
        </w:rPr>
        <w:t>对学生学习结果的评价应在专业能力考核的基础上增加工作态度、组织协调、交流沟通、诚实守信、吃苦耐劳和自主学习等综合素质方面的指标。专业能力的评价从基础知识和岗位能力两方面展开，基础知识注重实践性及对技能操作的说明和指导，岗位能力评价强调生产管理过程考核和生产结果考核并重。企业实训的评价要以企业评价为主，吸收岗位评价标准，听取企业指导教师的意见，增加职业能力和职业素质评价内容。</w:t>
      </w:r>
    </w:p>
    <w:p>
      <w:pPr>
        <w:spacing w:line="360" w:lineRule="exact"/>
        <w:ind w:firstLine="420" w:firstLineChars="200"/>
        <w:rPr>
          <w:rFonts w:hint="eastAsia" w:ascii="宋体" w:hAnsi="宋体"/>
          <w:szCs w:val="21"/>
        </w:rPr>
      </w:pPr>
      <w:r>
        <w:rPr>
          <w:rFonts w:hint="eastAsia" w:ascii="宋体" w:hAnsi="宋体"/>
          <w:szCs w:val="21"/>
        </w:rPr>
        <w:t>建议教学评价中要增加对教师教学质量的评价，可从教学准备、教学方法、教学设计、教学载体、教学过程、教学能力和教学效果等方面参考进行。</w:t>
      </w:r>
    </w:p>
    <w:p>
      <w:pPr>
        <w:spacing w:line="360" w:lineRule="exact"/>
        <w:ind w:firstLine="422" w:firstLineChars="200"/>
        <w:rPr>
          <w:rFonts w:hint="eastAsia" w:ascii="宋体" w:hAnsi="宋体"/>
          <w:b/>
          <w:bCs/>
          <w:szCs w:val="21"/>
        </w:rPr>
      </w:pPr>
      <w:r>
        <w:rPr>
          <w:rFonts w:hint="eastAsia" w:ascii="宋体" w:hAnsi="宋体"/>
          <w:b/>
          <w:bCs/>
          <w:szCs w:val="21"/>
        </w:rPr>
        <w:t>七、教学管理</w:t>
      </w:r>
    </w:p>
    <w:p>
      <w:pPr>
        <w:spacing w:line="360" w:lineRule="exact"/>
        <w:ind w:firstLine="420" w:firstLineChars="200"/>
        <w:rPr>
          <w:rFonts w:hint="eastAsia" w:ascii="宋体" w:hAnsi="宋体"/>
          <w:szCs w:val="21"/>
        </w:rPr>
      </w:pPr>
      <w:r>
        <w:rPr>
          <w:rFonts w:hint="eastAsia" w:ascii="宋体" w:hAnsi="宋体"/>
          <w:szCs w:val="21"/>
        </w:rPr>
        <w:t>建立规范的教学管理制度，教学中实施学年学分制管理，学生必须按要求修够规定的学分才能毕业。建立创业学分，学生可以基地自主创业证、驾驶员证、会计证和技能大赛获奖证书等替代拓展课程学分。</w:t>
      </w:r>
    </w:p>
    <w:p>
      <w:pPr>
        <w:spacing w:line="360" w:lineRule="exact"/>
        <w:ind w:firstLine="420" w:firstLineChars="200"/>
        <w:rPr>
          <w:rFonts w:hint="eastAsia" w:ascii="宋体" w:hAnsi="宋体"/>
          <w:szCs w:val="21"/>
        </w:rPr>
      </w:pPr>
      <w:r>
        <w:rPr>
          <w:rFonts w:hint="eastAsia" w:ascii="宋体" w:hAnsi="宋体"/>
          <w:szCs w:val="21"/>
        </w:rPr>
        <w:t>设立教学管理组织，实施校系二级管理。教学督导室、教务处和各专业系共同完成。教学督导室负责教学过程的全方位监督，以评估教师的教学质量为主，相关人员渗入教学的各个环节，从教学过程到安全教学，发现问题及时反馈相关部门和人员调整或解决。教务处组织各系负责教学的日常运转和管理，并根据教学督导室发现的问题和意见及时进行调整和改进。系部负责教学任务的具体落实、教学过程的具体运作、和教学评价的具体执行，以评价学生的学习质量为主，教师是学生学习质量考核的主体，系部做好考核方案的制定和考核结果的认定。教学组织管理应考虑植物生产类专业特点，可依据生长季节和生产项目内容实行弹性学期，灵活管理，依据生产季节设置课程内容和顺序，为理实一体化教学实施提供方便。</w:t>
      </w:r>
    </w:p>
    <w:p>
      <w:pPr>
        <w:spacing w:line="360" w:lineRule="exact"/>
        <w:ind w:firstLine="420" w:firstLineChars="200"/>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1"/>
        <w:rPr>
          <w:rFonts w:hint="eastAsia" w:ascii="宋体" w:hAnsi="宋体"/>
          <w:b/>
          <w:sz w:val="24"/>
        </w:rPr>
      </w:pPr>
      <w:r>
        <w:rPr>
          <w:rFonts w:hint="eastAsia" w:ascii="宋体" w:hAnsi="宋体"/>
          <w:b/>
          <w:sz w:val="24"/>
        </w:rPr>
        <w:t>继续专业学习深造建议</w:t>
      </w:r>
    </w:p>
    <w:p>
      <w:pPr>
        <w:spacing w:line="360" w:lineRule="exact"/>
        <w:ind w:firstLine="420" w:firstLineChars="200"/>
        <w:rPr>
          <w:rFonts w:hint="eastAsia" w:eastAsia="楷体_GB2312"/>
          <w:sz w:val="28"/>
          <w:szCs w:val="28"/>
        </w:rPr>
      </w:pPr>
      <w:r>
        <w:rPr>
          <w:rFonts w:hint="eastAsia" w:ascii="宋体" w:hAnsi="宋体"/>
          <w:szCs w:val="21"/>
        </w:rPr>
        <w:t>高职教育园艺技术专业的优秀毕业生可通过专升本、本科函授和成人教育等考试进入相关专业继续学习和深造，主要面向园艺植物商品化生产、新品种选育、种苗繁育、农业技术推广等领域。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22F5A"/>
    <w:multiLevelType w:val="singleLevel"/>
    <w:tmpl w:val="DB022F5A"/>
    <w:lvl w:ilvl="0" w:tentative="0">
      <w:start w:val="1"/>
      <w:numFmt w:val="chineseCounting"/>
      <w:suff w:val="nothing"/>
      <w:lvlText w:val="（%1）"/>
      <w:lvlJc w:val="left"/>
      <w:rPr>
        <w:rFonts w:hint="eastAsia"/>
      </w:rPr>
    </w:lvl>
  </w:abstractNum>
  <w:abstractNum w:abstractNumId="1">
    <w:nsid w:val="FF281DE7"/>
    <w:multiLevelType w:val="singleLevel"/>
    <w:tmpl w:val="FF281DE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D19A4"/>
    <w:rsid w:val="068009AD"/>
    <w:rsid w:val="18864786"/>
    <w:rsid w:val="20D51873"/>
    <w:rsid w:val="3DED4A01"/>
    <w:rsid w:val="6036464F"/>
    <w:rsid w:val="631D19A4"/>
    <w:rsid w:val="669171AE"/>
    <w:rsid w:val="6F970166"/>
    <w:rsid w:val="776B0EC1"/>
    <w:rsid w:val="7984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2018-03-08T12:31:00Z</dcterms:created>
  <dc:creator>winter .</dc:creator>
  <lastModifiedBy>zkzxz</lastModifiedBy>
  <dcterms:modified xsi:type="dcterms:W3CDTF">2018-03-22T02:57:08Z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